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596E8" w14:textId="77777777" w:rsidR="007A02AB" w:rsidRPr="000C7056" w:rsidRDefault="00715383" w:rsidP="000C7056">
      <w:pPr>
        <w:pStyle w:val="Rubrik1"/>
      </w:pPr>
      <w:r>
        <w:t>Partner Institution Information</w:t>
      </w:r>
      <w:r>
        <w:tab/>
      </w:r>
    </w:p>
    <w:p w14:paraId="7CEB0FC2" w14:textId="77777777" w:rsidR="00715383" w:rsidRPr="00CC1787" w:rsidRDefault="00715383" w:rsidP="00715383">
      <w:pPr>
        <w:pStyle w:val="Rubrik2"/>
        <w:rPr>
          <w:sz w:val="36"/>
          <w:szCs w:val="36"/>
          <w:lang w:val="en-US"/>
        </w:rPr>
      </w:pPr>
      <w:r w:rsidRPr="00CC1787">
        <w:rPr>
          <w:lang w:val="en-GB"/>
        </w:rPr>
        <w:t>Contact details</w:t>
      </w:r>
    </w:p>
    <w:tbl>
      <w:tblPr>
        <w:tblW w:w="9942" w:type="dxa"/>
        <w:tblInd w:w="-6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3604"/>
        <w:gridCol w:w="6338"/>
      </w:tblGrid>
      <w:tr w:rsidR="006D45AB" w:rsidRPr="00A96B49" w14:paraId="3557BE8B" w14:textId="77777777" w:rsidTr="00440C3F">
        <w:trPr>
          <w:trHeight w:val="410"/>
        </w:trPr>
        <w:tc>
          <w:tcPr>
            <w:tcW w:w="3604" w:type="dxa"/>
          </w:tcPr>
          <w:p w14:paraId="60C86F46" w14:textId="77777777" w:rsidR="006D45AB" w:rsidRPr="00972027" w:rsidRDefault="006D45AB" w:rsidP="00B72A9B">
            <w:pPr>
              <w:spacing w:after="120"/>
              <w:rPr>
                <w:b/>
                <w:lang w:val="en-US"/>
              </w:rPr>
            </w:pPr>
            <w:r w:rsidRPr="00A74BFC">
              <w:rPr>
                <w:b/>
                <w:lang w:val="en-US"/>
              </w:rPr>
              <w:br/>
            </w:r>
            <w:r w:rsidRPr="00972027">
              <w:rPr>
                <w:b/>
                <w:lang w:val="en-US"/>
              </w:rPr>
              <w:t>Exchange student contact:</w:t>
            </w:r>
          </w:p>
        </w:tc>
        <w:tc>
          <w:tcPr>
            <w:tcW w:w="6338" w:type="dxa"/>
          </w:tcPr>
          <w:p w14:paraId="7027CC6A" w14:textId="037119D8" w:rsidR="006D45AB" w:rsidRPr="00996B9B" w:rsidRDefault="006D45AB" w:rsidP="000D67A5">
            <w:pPr>
              <w:spacing w:after="120"/>
              <w:rPr>
                <w:lang w:val="en-US"/>
              </w:rPr>
            </w:pPr>
            <w:r w:rsidRPr="00996B9B">
              <w:rPr>
                <w:lang w:val="en-US"/>
              </w:rPr>
              <w:br/>
            </w:r>
            <w:bookmarkStart w:id="0" w:name="_GoBack"/>
            <w:bookmarkEnd w:id="0"/>
          </w:p>
          <w:p w14:paraId="33FF5A11" w14:textId="7AC8C66C" w:rsidR="006D45AB" w:rsidRPr="006D45AB" w:rsidRDefault="006D45AB" w:rsidP="00B72A9B">
            <w:pPr>
              <w:spacing w:after="120"/>
              <w:rPr>
                <w:rStyle w:val="Hyperlnk"/>
                <w:lang w:val="en-US"/>
              </w:rPr>
            </w:pPr>
            <w:r>
              <w:rPr>
                <w:lang w:val="en-US"/>
              </w:rPr>
              <w:br/>
            </w:r>
            <w:r w:rsidRPr="00AE43D7">
              <w:rPr>
                <w:rStyle w:val="Hyperlnk"/>
                <w:u w:val="none"/>
                <w:lang w:val="en-US"/>
              </w:rPr>
              <w:br/>
            </w:r>
          </w:p>
          <w:p w14:paraId="662F0821" w14:textId="77777777" w:rsidR="006D45AB" w:rsidRPr="00AD35D3" w:rsidRDefault="006D45AB" w:rsidP="00B72A9B">
            <w:pPr>
              <w:spacing w:after="120"/>
              <w:rPr>
                <w:lang w:val="en-US"/>
              </w:rPr>
            </w:pPr>
          </w:p>
        </w:tc>
      </w:tr>
      <w:tr w:rsidR="00715383" w:rsidRPr="00996B9B" w14:paraId="64BE2BBD" w14:textId="77777777" w:rsidTr="00EB7F4E">
        <w:trPr>
          <w:trHeight w:val="769"/>
        </w:trPr>
        <w:tc>
          <w:tcPr>
            <w:tcW w:w="3604" w:type="dxa"/>
          </w:tcPr>
          <w:p w14:paraId="3F5E1412" w14:textId="36EB3CBB" w:rsidR="009C09BE" w:rsidRDefault="009C09BE" w:rsidP="00B72A9B">
            <w:pPr>
              <w:keepNext/>
              <w:outlineLvl w:val="0"/>
              <w:rPr>
                <w:b/>
                <w:lang w:val="en-US"/>
              </w:rPr>
            </w:pPr>
          </w:p>
          <w:p w14:paraId="0235AB33" w14:textId="77777777" w:rsidR="00715383" w:rsidRPr="006E0123" w:rsidRDefault="00715383" w:rsidP="00B72A9B">
            <w:pPr>
              <w:keepNext/>
              <w:outlineLvl w:val="0"/>
              <w:rPr>
                <w:b/>
                <w:lang w:val="en-US"/>
              </w:rPr>
            </w:pPr>
            <w:r w:rsidRPr="00A74BFC">
              <w:rPr>
                <w:b/>
                <w:lang w:val="en-US"/>
              </w:rPr>
              <w:t>Address</w:t>
            </w:r>
            <w:r>
              <w:rPr>
                <w:lang w:val="en-US"/>
              </w:rPr>
              <w:t>:</w:t>
            </w:r>
          </w:p>
        </w:tc>
        <w:tc>
          <w:tcPr>
            <w:tcW w:w="6338" w:type="dxa"/>
          </w:tcPr>
          <w:p w14:paraId="1734D64D" w14:textId="77777777" w:rsidR="009C09BE" w:rsidRDefault="009C09BE" w:rsidP="00B72A9B">
            <w:pPr>
              <w:rPr>
                <w:lang w:val="en-US"/>
              </w:rPr>
            </w:pPr>
          </w:p>
          <w:p w14:paraId="5FF568B1" w14:textId="77777777" w:rsidR="00715383" w:rsidRPr="00C0316D" w:rsidRDefault="00715383" w:rsidP="00B72A9B">
            <w:pPr>
              <w:rPr>
                <w:lang w:val="en-US"/>
              </w:rPr>
            </w:pPr>
            <w:r>
              <w:rPr>
                <w:lang w:val="en-US"/>
              </w:rPr>
              <w:t>International Office</w:t>
            </w:r>
            <w:r>
              <w:rPr>
                <w:lang w:val="en-US"/>
              </w:rPr>
              <w:br/>
            </w:r>
            <w:proofErr w:type="spellStart"/>
            <w:r>
              <w:rPr>
                <w:lang w:val="en-US"/>
              </w:rPr>
              <w:t>Umeå</w:t>
            </w:r>
            <w:proofErr w:type="spellEnd"/>
            <w:r>
              <w:rPr>
                <w:lang w:val="en-US"/>
              </w:rPr>
              <w:t xml:space="preserve"> University</w:t>
            </w:r>
            <w:r>
              <w:rPr>
                <w:lang w:val="en-US"/>
              </w:rPr>
              <w:br/>
              <w:t xml:space="preserve">SE-901 87 </w:t>
            </w:r>
            <w:proofErr w:type="spellStart"/>
            <w:r w:rsidRPr="00C0316D">
              <w:rPr>
                <w:lang w:val="en-US"/>
              </w:rPr>
              <w:t>Umeå</w:t>
            </w:r>
            <w:proofErr w:type="spellEnd"/>
            <w:r w:rsidRPr="00C0316D">
              <w:rPr>
                <w:lang w:val="en-US"/>
              </w:rPr>
              <w:br/>
              <w:t>Sweden</w:t>
            </w:r>
          </w:p>
        </w:tc>
      </w:tr>
    </w:tbl>
    <w:p w14:paraId="6EA0CF8B" w14:textId="77777777" w:rsidR="00715383" w:rsidRPr="00992779" w:rsidRDefault="00715383" w:rsidP="00715383">
      <w:pPr>
        <w:pStyle w:val="Rubrik2"/>
        <w:spacing w:before="0" w:after="120"/>
        <w:rPr>
          <w:lang w:val="en-US"/>
        </w:rPr>
      </w:pPr>
    </w:p>
    <w:p w14:paraId="2A46F831" w14:textId="77777777" w:rsidR="00715383" w:rsidRDefault="00715383" w:rsidP="00715383">
      <w:pPr>
        <w:pStyle w:val="Rubrik2"/>
        <w:spacing w:before="0" w:after="120"/>
        <w:rPr>
          <w:lang w:val="en-US"/>
        </w:rPr>
      </w:pPr>
      <w:r w:rsidRPr="00A74BFC">
        <w:rPr>
          <w:lang w:val="en-US"/>
        </w:rPr>
        <w:t>Terms for exchange</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289"/>
      </w:tblGrid>
      <w:tr w:rsidR="00715383" w:rsidRPr="00A96B49" w14:paraId="39686046" w14:textId="77777777" w:rsidTr="00B72A9B">
        <w:trPr>
          <w:cantSplit/>
          <w:trHeight w:val="623"/>
        </w:trPr>
        <w:tc>
          <w:tcPr>
            <w:tcW w:w="3573" w:type="dxa"/>
          </w:tcPr>
          <w:p w14:paraId="7FAC2A77" w14:textId="77777777" w:rsidR="00715383" w:rsidRPr="00715383" w:rsidRDefault="00715383" w:rsidP="00715383">
            <w:pPr>
              <w:pStyle w:val="NormalUmU"/>
              <w:rPr>
                <w:b/>
              </w:rPr>
            </w:pPr>
            <w:r w:rsidRPr="00715383">
              <w:rPr>
                <w:b/>
              </w:rPr>
              <w:br/>
              <w:t>Level of exchange:</w:t>
            </w:r>
          </w:p>
        </w:tc>
        <w:tc>
          <w:tcPr>
            <w:tcW w:w="6289" w:type="dxa"/>
          </w:tcPr>
          <w:p w14:paraId="0AE6200E" w14:textId="77777777" w:rsidR="00715383" w:rsidRPr="00CA5D49" w:rsidRDefault="00715383" w:rsidP="00715383">
            <w:pPr>
              <w:pStyle w:val="NormalUmU"/>
            </w:pPr>
            <w:r>
              <w:br/>
            </w:r>
            <w:r w:rsidRPr="00CA5D49">
              <w:t>Undergraduate/Graduate course work only</w:t>
            </w:r>
          </w:p>
        </w:tc>
      </w:tr>
      <w:tr w:rsidR="00715383" w:rsidRPr="00A96B49" w14:paraId="27D4793C" w14:textId="77777777" w:rsidTr="00B72A9B">
        <w:tc>
          <w:tcPr>
            <w:tcW w:w="3573" w:type="dxa"/>
          </w:tcPr>
          <w:p w14:paraId="74423731" w14:textId="77777777" w:rsidR="00715383" w:rsidRPr="00715383" w:rsidRDefault="00715383" w:rsidP="00715383">
            <w:pPr>
              <w:pStyle w:val="NormalUmU"/>
              <w:rPr>
                <w:b/>
              </w:rPr>
            </w:pPr>
            <w:r>
              <w:br/>
            </w:r>
            <w:r w:rsidRPr="00715383">
              <w:rPr>
                <w:b/>
              </w:rPr>
              <w:t>Duration of exchange:</w:t>
            </w:r>
          </w:p>
        </w:tc>
        <w:tc>
          <w:tcPr>
            <w:tcW w:w="6289" w:type="dxa"/>
          </w:tcPr>
          <w:p w14:paraId="2B4C43DF" w14:textId="77777777" w:rsidR="00715383" w:rsidRDefault="00715383" w:rsidP="00715383">
            <w:pPr>
              <w:pStyle w:val="NormalUmU"/>
            </w:pPr>
            <w:r>
              <w:br/>
              <w:t>From short term exchange agreed by both partner universities to a full term or a full academic year.</w:t>
            </w:r>
          </w:p>
        </w:tc>
      </w:tr>
      <w:tr w:rsidR="00715383" w:rsidRPr="00A96B49" w14:paraId="700BD92D" w14:textId="77777777" w:rsidTr="00B72A9B">
        <w:tc>
          <w:tcPr>
            <w:tcW w:w="3573" w:type="dxa"/>
          </w:tcPr>
          <w:p w14:paraId="1D3BC79E" w14:textId="77777777" w:rsidR="00715383" w:rsidRPr="00715383" w:rsidRDefault="00715383" w:rsidP="00715383">
            <w:pPr>
              <w:pStyle w:val="NormalUmU"/>
              <w:rPr>
                <w:b/>
              </w:rPr>
            </w:pPr>
            <w:r>
              <w:br/>
            </w:r>
            <w:r w:rsidRPr="00715383">
              <w:rPr>
                <w:b/>
              </w:rPr>
              <w:t>Application and nomination deadline for Autumn term 2017:</w:t>
            </w:r>
          </w:p>
        </w:tc>
        <w:tc>
          <w:tcPr>
            <w:tcW w:w="6289" w:type="dxa"/>
          </w:tcPr>
          <w:p w14:paraId="1965C38E" w14:textId="47561FF0" w:rsidR="00715383" w:rsidRPr="00253FD8" w:rsidRDefault="00715383" w:rsidP="00715383">
            <w:pPr>
              <w:pStyle w:val="NormalUmU"/>
            </w:pPr>
            <w:r>
              <w:br/>
            </w:r>
            <w:r w:rsidRPr="00253FD8">
              <w:t>Application deadline</w:t>
            </w:r>
            <w:r w:rsidRPr="00996B9B">
              <w:t xml:space="preserve">: </w:t>
            </w:r>
            <w:r w:rsidRPr="00534B62">
              <w:rPr>
                <w:b/>
              </w:rPr>
              <w:t>Normally 15 April</w:t>
            </w:r>
            <w:r>
              <w:t xml:space="preserve"> but as 15 April is on a Saturday this year, </w:t>
            </w:r>
            <w:r w:rsidRPr="00534B62">
              <w:rPr>
                <w:b/>
              </w:rPr>
              <w:t>the</w:t>
            </w:r>
            <w:r w:rsidR="00CD14C6">
              <w:rPr>
                <w:b/>
              </w:rPr>
              <w:t xml:space="preserve"> application deadline will be 18</w:t>
            </w:r>
            <w:r w:rsidRPr="00534B62">
              <w:rPr>
                <w:b/>
              </w:rPr>
              <w:t xml:space="preserve"> April. </w:t>
            </w:r>
            <w:r w:rsidRPr="00534B62">
              <w:rPr>
                <w:b/>
              </w:rPr>
              <w:br/>
            </w:r>
            <w:r w:rsidRPr="00253FD8">
              <w:t xml:space="preserve">Nomination deadline: </w:t>
            </w:r>
            <w:r w:rsidRPr="00534B62">
              <w:rPr>
                <w:b/>
              </w:rPr>
              <w:t>Normally 1 April</w:t>
            </w:r>
            <w:r>
              <w:t xml:space="preserve"> every year but as 1 April is on Saturday this year, </w:t>
            </w:r>
            <w:r w:rsidRPr="00534B62">
              <w:rPr>
                <w:b/>
              </w:rPr>
              <w:t>the nomination deadline will be 3 April</w:t>
            </w:r>
            <w:r>
              <w:t xml:space="preserve">. </w:t>
            </w:r>
          </w:p>
        </w:tc>
      </w:tr>
    </w:tbl>
    <w:p w14:paraId="11979534" w14:textId="77777777" w:rsidR="00715383" w:rsidRDefault="00715383" w:rsidP="00715383">
      <w:pPr>
        <w:pStyle w:val="Rubrik2"/>
        <w:spacing w:before="0" w:after="120"/>
        <w:rPr>
          <w:b/>
          <w:sz w:val="20"/>
          <w:lang w:val="en-US"/>
        </w:rPr>
      </w:pPr>
    </w:p>
    <w:p w14:paraId="02A998F8" w14:textId="77777777" w:rsidR="009C09BE" w:rsidRDefault="009C09BE" w:rsidP="00715383">
      <w:pPr>
        <w:pStyle w:val="Rubrik2"/>
        <w:spacing w:before="0" w:after="120"/>
        <w:rPr>
          <w:lang w:val="en-US"/>
        </w:rPr>
        <w:sectPr w:rsidR="009C09BE" w:rsidSect="009B7A32">
          <w:headerReference w:type="default" r:id="rId8"/>
          <w:footerReference w:type="default" r:id="rId9"/>
          <w:headerReference w:type="first" r:id="rId10"/>
          <w:footerReference w:type="first" r:id="rId11"/>
          <w:pgSz w:w="11907" w:h="16839" w:code="9"/>
          <w:pgMar w:top="2211" w:right="1588" w:bottom="1701" w:left="1588" w:header="680" w:footer="680" w:gutter="0"/>
          <w:cols w:space="720"/>
          <w:docGrid w:linePitch="360"/>
        </w:sectPr>
      </w:pPr>
    </w:p>
    <w:p w14:paraId="7F43971F" w14:textId="0EB64CB6" w:rsidR="00715383" w:rsidRPr="00715383" w:rsidRDefault="00715383" w:rsidP="00715383">
      <w:pPr>
        <w:pStyle w:val="Rubrik2"/>
        <w:spacing w:before="0" w:after="120"/>
        <w:rPr>
          <w:b/>
          <w:sz w:val="20"/>
          <w:szCs w:val="20"/>
          <w:lang w:val="en-US"/>
        </w:rPr>
      </w:pPr>
      <w:r>
        <w:rPr>
          <w:lang w:val="en-US"/>
        </w:rPr>
        <w:lastRenderedPageBreak/>
        <w:t xml:space="preserve">Study information </w:t>
      </w:r>
      <w:r w:rsidRPr="00715383">
        <w:rPr>
          <w:sz w:val="20"/>
          <w:szCs w:val="20"/>
          <w:lang w:val="en-US"/>
        </w:rPr>
        <w:t>(this information is specific for the current academic year)</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6289"/>
      </w:tblGrid>
      <w:tr w:rsidR="00715383" w:rsidRPr="00A96B49" w14:paraId="7EB05221" w14:textId="77777777" w:rsidTr="00B72A9B">
        <w:trPr>
          <w:cantSplit/>
          <w:trHeight w:val="1020"/>
        </w:trPr>
        <w:tc>
          <w:tcPr>
            <w:tcW w:w="3611" w:type="dxa"/>
          </w:tcPr>
          <w:p w14:paraId="5F09790B" w14:textId="77777777" w:rsidR="00715383" w:rsidRDefault="00715383" w:rsidP="00B72A9B">
            <w:pPr>
              <w:rPr>
                <w:b/>
                <w:lang w:val="en-US"/>
              </w:rPr>
            </w:pPr>
            <w:r>
              <w:rPr>
                <w:b/>
                <w:lang w:val="en-US"/>
              </w:rPr>
              <w:br/>
            </w:r>
            <w:r w:rsidRPr="00A74BFC">
              <w:rPr>
                <w:b/>
                <w:lang w:val="en-US"/>
              </w:rPr>
              <w:t>Course</w:t>
            </w:r>
            <w:r>
              <w:rPr>
                <w:b/>
                <w:lang w:val="en-US"/>
              </w:rPr>
              <w:t xml:space="preserve"> catalogue</w:t>
            </w:r>
            <w:r w:rsidRPr="00A74BFC">
              <w:rPr>
                <w:b/>
                <w:lang w:val="en-US"/>
              </w:rPr>
              <w:t>:</w:t>
            </w:r>
          </w:p>
        </w:tc>
        <w:tc>
          <w:tcPr>
            <w:tcW w:w="6289" w:type="dxa"/>
          </w:tcPr>
          <w:p w14:paraId="097593B6" w14:textId="77777777" w:rsidR="00715383" w:rsidRDefault="00715383" w:rsidP="00B72A9B">
            <w:pPr>
              <w:rPr>
                <w:lang w:val="en-US"/>
              </w:rPr>
            </w:pPr>
            <w:r>
              <w:rPr>
                <w:lang w:val="en-US"/>
              </w:rPr>
              <w:br/>
            </w:r>
            <w:proofErr w:type="spellStart"/>
            <w:r>
              <w:rPr>
                <w:lang w:val="en-US"/>
              </w:rPr>
              <w:t>Umeå</w:t>
            </w:r>
            <w:proofErr w:type="spellEnd"/>
            <w:r>
              <w:rPr>
                <w:lang w:val="en-US"/>
              </w:rPr>
              <w:t xml:space="preserve"> University offers a wide range of courses in English for exchange students:</w:t>
            </w:r>
            <w:r w:rsidRPr="009E3B64">
              <w:rPr>
                <w:lang w:val="en-US"/>
              </w:rPr>
              <w:t xml:space="preserve"> </w:t>
            </w:r>
            <w:hyperlink r:id="rId12" w:history="1">
              <w:r w:rsidRPr="00795410">
                <w:rPr>
                  <w:rStyle w:val="Hyperlnk"/>
                  <w:lang w:val="en-US"/>
                </w:rPr>
                <w:t>www.student.umu.se/english/during-your-studies/your-continued-studies/courselist</w:t>
              </w:r>
            </w:hyperlink>
          </w:p>
        </w:tc>
      </w:tr>
      <w:tr w:rsidR="00715383" w:rsidRPr="009E3B64" w14:paraId="5BD8474E" w14:textId="77777777" w:rsidTr="00B72A9B">
        <w:trPr>
          <w:trHeight w:val="676"/>
        </w:trPr>
        <w:tc>
          <w:tcPr>
            <w:tcW w:w="3611" w:type="dxa"/>
          </w:tcPr>
          <w:p w14:paraId="4D4BB1DA" w14:textId="77777777" w:rsidR="00715383" w:rsidRPr="007A0494" w:rsidRDefault="00715383" w:rsidP="00B72A9B">
            <w:pPr>
              <w:rPr>
                <w:b/>
                <w:lang w:val="en-US"/>
              </w:rPr>
            </w:pPr>
            <w:r>
              <w:rPr>
                <w:b/>
                <w:lang w:val="en-US"/>
              </w:rPr>
              <w:br/>
            </w:r>
            <w:r w:rsidRPr="00A74BFC">
              <w:rPr>
                <w:b/>
                <w:lang w:val="en-US"/>
              </w:rPr>
              <w:t>Term date</w:t>
            </w:r>
            <w:r>
              <w:rPr>
                <w:b/>
                <w:lang w:val="en-US"/>
              </w:rPr>
              <w:t>:</w:t>
            </w:r>
            <w:r w:rsidRPr="00A74BFC">
              <w:rPr>
                <w:lang w:val="en-US"/>
              </w:rPr>
              <w:tab/>
            </w:r>
            <w:r w:rsidRPr="00A74BFC">
              <w:rPr>
                <w:lang w:val="en-US"/>
              </w:rPr>
              <w:tab/>
            </w:r>
          </w:p>
        </w:tc>
        <w:tc>
          <w:tcPr>
            <w:tcW w:w="6289" w:type="dxa"/>
          </w:tcPr>
          <w:p w14:paraId="6BF2C764" w14:textId="77777777" w:rsidR="00715383" w:rsidRPr="00253FD8" w:rsidRDefault="00715383" w:rsidP="00715383">
            <w:pPr>
              <w:pStyle w:val="NormalUmU"/>
              <w:rPr>
                <w:rFonts w:ascii="Times New Roman" w:hAnsi="Times New Roman"/>
                <w:szCs w:val="27"/>
              </w:rPr>
            </w:pPr>
            <w:r>
              <w:rPr>
                <w:color w:val="0000FF"/>
              </w:rPr>
              <w:br/>
            </w:r>
            <w:r>
              <w:t xml:space="preserve">Autumn term 2017: </w:t>
            </w:r>
            <w:r>
              <w:rPr>
                <w:rStyle w:val="Stark"/>
              </w:rPr>
              <w:t>28 August 2017 - 14 January 2018</w:t>
            </w:r>
          </w:p>
        </w:tc>
      </w:tr>
      <w:tr w:rsidR="00715383" w:rsidRPr="00A96B49" w14:paraId="01CBE6A0" w14:textId="77777777" w:rsidTr="00B72A9B">
        <w:trPr>
          <w:trHeight w:val="544"/>
        </w:trPr>
        <w:tc>
          <w:tcPr>
            <w:tcW w:w="3611" w:type="dxa"/>
          </w:tcPr>
          <w:p w14:paraId="13345E78" w14:textId="77777777" w:rsidR="00715383" w:rsidRPr="00F50DB2" w:rsidRDefault="00715383" w:rsidP="00B72A9B">
            <w:pPr>
              <w:rPr>
                <w:lang w:val="en-US"/>
              </w:rPr>
            </w:pPr>
            <w:r>
              <w:rPr>
                <w:b/>
                <w:lang w:val="en-US"/>
              </w:rPr>
              <w:br/>
            </w:r>
            <w:r w:rsidRPr="00A74BFC">
              <w:rPr>
                <w:b/>
                <w:lang w:val="en-US"/>
              </w:rPr>
              <w:t>Examination period:</w:t>
            </w:r>
          </w:p>
          <w:p w14:paraId="5B18E0FB" w14:textId="77777777" w:rsidR="00715383" w:rsidRPr="00F50DB2" w:rsidRDefault="00715383" w:rsidP="00B72A9B">
            <w:pPr>
              <w:ind w:left="2799" w:hanging="2520"/>
              <w:rPr>
                <w:b/>
                <w:lang w:val="en-US"/>
              </w:rPr>
            </w:pPr>
          </w:p>
        </w:tc>
        <w:tc>
          <w:tcPr>
            <w:tcW w:w="6289" w:type="dxa"/>
          </w:tcPr>
          <w:p w14:paraId="647BF0A5" w14:textId="77777777" w:rsidR="00715383" w:rsidRPr="00E41040" w:rsidRDefault="00715383" w:rsidP="00715383">
            <w:pPr>
              <w:pStyle w:val="NormalUmU"/>
            </w:pPr>
            <w:r>
              <w:br/>
              <w:t>All courses include written and/</w:t>
            </w:r>
            <w:r w:rsidRPr="00E41040">
              <w:t xml:space="preserve">or oral examinations. </w:t>
            </w:r>
            <w:r>
              <w:t>There are not normally</w:t>
            </w:r>
            <w:r w:rsidRPr="00E41040">
              <w:t xml:space="preserve"> final exams </w:t>
            </w:r>
            <w:r>
              <w:t>that cover</w:t>
            </w:r>
            <w:r w:rsidRPr="00E41040">
              <w:t xml:space="preserve"> the entire term’s coursework or </w:t>
            </w:r>
            <w:r>
              <w:t>that cover</w:t>
            </w:r>
            <w:r w:rsidRPr="00E41040">
              <w:t xml:space="preserve"> an entire general study </w:t>
            </w:r>
            <w:proofErr w:type="spellStart"/>
            <w:r w:rsidRPr="00E41040">
              <w:t>program</w:t>
            </w:r>
            <w:r>
              <w:t>me</w:t>
            </w:r>
            <w:proofErr w:type="spellEnd"/>
            <w:r w:rsidRPr="00E41040">
              <w:t>. Exa</w:t>
            </w:r>
            <w:r>
              <w:t>minations take place during term time</w:t>
            </w:r>
            <w:r w:rsidRPr="00E41040">
              <w:t xml:space="preserve">. </w:t>
            </w:r>
            <w:r w:rsidRPr="00E41040">
              <w:rPr>
                <w:rFonts w:cs="Arial"/>
                <w:color w:val="000000"/>
              </w:rPr>
              <w:t>Exams may cover one or more credit points.</w:t>
            </w:r>
          </w:p>
        </w:tc>
      </w:tr>
      <w:tr w:rsidR="00715383" w:rsidRPr="00A96B49" w14:paraId="4B9213C9" w14:textId="77777777" w:rsidTr="00B72A9B">
        <w:trPr>
          <w:trHeight w:val="544"/>
        </w:trPr>
        <w:tc>
          <w:tcPr>
            <w:tcW w:w="3611" w:type="dxa"/>
          </w:tcPr>
          <w:p w14:paraId="065B4532" w14:textId="77777777" w:rsidR="00715383" w:rsidRDefault="00715383" w:rsidP="00B72A9B">
            <w:pPr>
              <w:rPr>
                <w:b/>
                <w:lang w:val="en-US"/>
              </w:rPr>
            </w:pPr>
            <w:r>
              <w:rPr>
                <w:b/>
                <w:lang w:val="en-US"/>
              </w:rPr>
              <w:br/>
              <w:t>Term breaks:</w:t>
            </w:r>
          </w:p>
        </w:tc>
        <w:tc>
          <w:tcPr>
            <w:tcW w:w="6289" w:type="dxa"/>
          </w:tcPr>
          <w:p w14:paraId="767A4410" w14:textId="77777777" w:rsidR="00715383" w:rsidRDefault="00715383" w:rsidP="00715383">
            <w:pPr>
              <w:pStyle w:val="NormalUmU"/>
            </w:pPr>
            <w:r>
              <w:br/>
            </w:r>
            <w:r w:rsidRPr="001E3407">
              <w:t>There are breaks for Christmas and Easter. Please note that dates may vary between different departments.</w:t>
            </w:r>
          </w:p>
        </w:tc>
      </w:tr>
      <w:tr w:rsidR="00715383" w:rsidRPr="00996B9B" w14:paraId="4BF53BBF" w14:textId="77777777" w:rsidTr="00B72A9B">
        <w:trPr>
          <w:cantSplit/>
          <w:trHeight w:val="1005"/>
        </w:trPr>
        <w:tc>
          <w:tcPr>
            <w:tcW w:w="3611" w:type="dxa"/>
          </w:tcPr>
          <w:p w14:paraId="3E0DEBFF" w14:textId="77777777" w:rsidR="00715383" w:rsidRPr="00E41040" w:rsidRDefault="00715383" w:rsidP="00B72A9B">
            <w:pPr>
              <w:rPr>
                <w:lang w:val="en-US"/>
              </w:rPr>
            </w:pPr>
            <w:r>
              <w:rPr>
                <w:b/>
                <w:lang w:val="en-US"/>
              </w:rPr>
              <w:br/>
            </w:r>
            <w:r w:rsidRPr="00336FE4">
              <w:rPr>
                <w:b/>
                <w:lang w:val="en-US"/>
              </w:rPr>
              <w:t>Course types:</w:t>
            </w:r>
            <w:r w:rsidRPr="00336FE4">
              <w:rPr>
                <w:lang w:val="en-US"/>
              </w:rPr>
              <w:t xml:space="preserve"> </w:t>
            </w:r>
          </w:p>
          <w:p w14:paraId="372377A5" w14:textId="77777777" w:rsidR="00715383" w:rsidRPr="00E41040" w:rsidRDefault="00715383" w:rsidP="00B72A9B">
            <w:pPr>
              <w:ind w:left="2799" w:hanging="2520"/>
              <w:rPr>
                <w:b/>
                <w:lang w:val="en-US"/>
              </w:rPr>
            </w:pPr>
          </w:p>
        </w:tc>
        <w:tc>
          <w:tcPr>
            <w:tcW w:w="6289" w:type="dxa"/>
          </w:tcPr>
          <w:p w14:paraId="66B1BEE5" w14:textId="74AFEBB1" w:rsidR="00715383" w:rsidRDefault="00715383" w:rsidP="00715383">
            <w:pPr>
              <w:pStyle w:val="NormalUmU"/>
            </w:pPr>
            <w:r>
              <w:br/>
            </w:r>
            <w:r w:rsidRPr="00E41040">
              <w:rPr>
                <w:rFonts w:cs="Arial"/>
                <w:lang w:val="en-GB"/>
              </w:rPr>
              <w:t>The single-subject courses available</w:t>
            </w:r>
            <w:r>
              <w:rPr>
                <w:rFonts w:cs="Arial"/>
                <w:lang w:val="en-GB"/>
              </w:rPr>
              <w:t xml:space="preserve"> </w:t>
            </w:r>
            <w:r w:rsidRPr="00E41040">
              <w:rPr>
                <w:rFonts w:cs="Arial"/>
                <w:lang w:val="en-GB"/>
              </w:rPr>
              <w:t xml:space="preserve">at </w:t>
            </w:r>
            <w:proofErr w:type="spellStart"/>
            <w:r w:rsidRPr="00E41040">
              <w:rPr>
                <w:rFonts w:cs="Arial"/>
                <w:lang w:val="en-GB"/>
              </w:rPr>
              <w:t>Umeå</w:t>
            </w:r>
            <w:proofErr w:type="spellEnd"/>
            <w:r w:rsidRPr="00E41040">
              <w:rPr>
                <w:rFonts w:cs="Arial"/>
                <w:lang w:val="en-GB"/>
              </w:rPr>
              <w:t xml:space="preserve"> University with instruction given in English are offered at the </w:t>
            </w:r>
            <w:r w:rsidRPr="00E41040">
              <w:rPr>
                <w:rFonts w:cs="Arial"/>
                <w:b/>
                <w:lang w:val="en-GB"/>
              </w:rPr>
              <w:t>basic level (first cycle)</w:t>
            </w:r>
            <w:r w:rsidRPr="00E41040">
              <w:rPr>
                <w:rFonts w:cs="Arial"/>
                <w:lang w:val="en-GB"/>
              </w:rPr>
              <w:t xml:space="preserve">, and </w:t>
            </w:r>
            <w:r w:rsidRPr="00E41040">
              <w:rPr>
                <w:rFonts w:cs="Arial"/>
                <w:b/>
                <w:lang w:val="en-GB"/>
              </w:rPr>
              <w:t>advanced level (second cycle)</w:t>
            </w:r>
            <w:r w:rsidRPr="00E41040">
              <w:rPr>
                <w:rFonts w:cs="Arial"/>
                <w:lang w:val="en-GB"/>
              </w:rPr>
              <w:t>.</w:t>
            </w:r>
            <w:r>
              <w:rPr>
                <w:rFonts w:cs="Arial"/>
                <w:lang w:val="en-GB"/>
              </w:rPr>
              <w:t xml:space="preserve"> </w:t>
            </w:r>
            <w:r w:rsidRPr="00E41040">
              <w:rPr>
                <w:rFonts w:cs="Arial"/>
                <w:lang w:val="en-GB"/>
              </w:rPr>
              <w:t xml:space="preserve">Specific eligibility requirements </w:t>
            </w:r>
            <w:r>
              <w:rPr>
                <w:rFonts w:cs="Arial"/>
                <w:lang w:val="en-GB"/>
              </w:rPr>
              <w:t xml:space="preserve">are stated </w:t>
            </w:r>
            <w:r w:rsidRPr="00E41040">
              <w:rPr>
                <w:rFonts w:cs="Arial"/>
                <w:lang w:val="en-GB"/>
              </w:rPr>
              <w:t xml:space="preserve">on the course pages. </w:t>
            </w:r>
          </w:p>
        </w:tc>
      </w:tr>
      <w:tr w:rsidR="00715383" w:rsidRPr="00A96B49" w14:paraId="017E3DC2" w14:textId="77777777" w:rsidTr="00B72A9B">
        <w:trPr>
          <w:cantSplit/>
          <w:trHeight w:val="1005"/>
        </w:trPr>
        <w:tc>
          <w:tcPr>
            <w:tcW w:w="3611" w:type="dxa"/>
          </w:tcPr>
          <w:p w14:paraId="1A01DF16" w14:textId="77777777" w:rsidR="00715383" w:rsidRDefault="00715383" w:rsidP="00B72A9B">
            <w:pPr>
              <w:rPr>
                <w:b/>
                <w:lang w:val="en-US"/>
              </w:rPr>
            </w:pPr>
            <w:r>
              <w:rPr>
                <w:b/>
                <w:lang w:val="en-US"/>
              </w:rPr>
              <w:br/>
              <w:t>Credit system:</w:t>
            </w:r>
          </w:p>
        </w:tc>
        <w:tc>
          <w:tcPr>
            <w:tcW w:w="6289" w:type="dxa"/>
          </w:tcPr>
          <w:p w14:paraId="54D81A85" w14:textId="610E17B2" w:rsidR="00715383" w:rsidRDefault="00715383" w:rsidP="00715383">
            <w:pPr>
              <w:pStyle w:val="NormalUmU"/>
            </w:pPr>
            <w:r>
              <w:br/>
            </w:r>
            <w:proofErr w:type="spellStart"/>
            <w:r w:rsidRPr="00E41040">
              <w:t>Umeå</w:t>
            </w:r>
            <w:proofErr w:type="spellEnd"/>
            <w:r w:rsidRPr="00E41040">
              <w:t xml:space="preserve"> University uses the European Credit Transfer System</w:t>
            </w:r>
            <w:r>
              <w:t xml:space="preserve"> </w:t>
            </w:r>
            <w:r w:rsidRPr="00E41040">
              <w:t>as its system of credits</w:t>
            </w:r>
            <w:r>
              <w:t xml:space="preserve">. </w:t>
            </w:r>
            <w:r>
              <w:rPr>
                <w:color w:val="000000"/>
              </w:rPr>
              <w:t xml:space="preserve">1.5 </w:t>
            </w:r>
            <w:proofErr w:type="spellStart"/>
            <w:r>
              <w:rPr>
                <w:color w:val="000000"/>
              </w:rPr>
              <w:t>ECTS</w:t>
            </w:r>
            <w:proofErr w:type="spellEnd"/>
            <w:r>
              <w:rPr>
                <w:color w:val="000000"/>
              </w:rPr>
              <w:t xml:space="preserve"> is the equivalent of one week of full time study.</w:t>
            </w:r>
          </w:p>
        </w:tc>
      </w:tr>
      <w:tr w:rsidR="00715383" w:rsidRPr="00715383" w14:paraId="7AA80F47" w14:textId="77777777" w:rsidTr="00B72A9B">
        <w:trPr>
          <w:trHeight w:val="456"/>
        </w:trPr>
        <w:tc>
          <w:tcPr>
            <w:tcW w:w="3611" w:type="dxa"/>
          </w:tcPr>
          <w:p w14:paraId="6313DBFE" w14:textId="77777777" w:rsidR="00715383" w:rsidRDefault="00715383" w:rsidP="00B72A9B">
            <w:pPr>
              <w:rPr>
                <w:b/>
                <w:lang w:val="en-US"/>
              </w:rPr>
            </w:pPr>
            <w:r>
              <w:rPr>
                <w:b/>
                <w:lang w:val="en-US"/>
              </w:rPr>
              <w:br/>
              <w:t>Course load:</w:t>
            </w:r>
          </w:p>
        </w:tc>
        <w:tc>
          <w:tcPr>
            <w:tcW w:w="6289" w:type="dxa"/>
          </w:tcPr>
          <w:p w14:paraId="0BEB9909" w14:textId="77777777" w:rsidR="00715383" w:rsidRDefault="00715383" w:rsidP="00715383">
            <w:pPr>
              <w:pStyle w:val="NormalUmU"/>
            </w:pPr>
            <w:r>
              <w:br/>
            </w:r>
            <w:r w:rsidRPr="00E41040">
              <w:t>One a</w:t>
            </w:r>
            <w:r>
              <w:t xml:space="preserve">cademic term comprises 20 weeks. Full-time study </w:t>
            </w:r>
            <w:proofErr w:type="gramStart"/>
            <w:r>
              <w:t>consist</w:t>
            </w:r>
            <w:proofErr w:type="gramEnd"/>
            <w:r w:rsidRPr="00E41040">
              <w:t xml:space="preserve"> of 30 </w:t>
            </w:r>
            <w:proofErr w:type="spellStart"/>
            <w:r w:rsidRPr="00E41040">
              <w:t>ECTS</w:t>
            </w:r>
            <w:proofErr w:type="spellEnd"/>
            <w:r>
              <w:t xml:space="preserve"> per term which means </w:t>
            </w:r>
            <w:r w:rsidRPr="00E41040">
              <w:rPr>
                <w:color w:val="000000"/>
              </w:rPr>
              <w:t xml:space="preserve">approximately 40 </w:t>
            </w:r>
            <w:r>
              <w:rPr>
                <w:color w:val="000000"/>
              </w:rPr>
              <w:t>hours of study</w:t>
            </w:r>
            <w:r w:rsidRPr="00E41040">
              <w:rPr>
                <w:color w:val="000000"/>
              </w:rPr>
              <w:t xml:space="preserve"> per week</w:t>
            </w:r>
            <w:r>
              <w:rPr>
                <w:color w:val="000000"/>
              </w:rPr>
              <w:t xml:space="preserve"> </w:t>
            </w:r>
            <w:r w:rsidRPr="00E41040">
              <w:rPr>
                <w:color w:val="000000"/>
              </w:rPr>
              <w:t>including a varying number of le</w:t>
            </w:r>
            <w:r>
              <w:rPr>
                <w:color w:val="000000"/>
              </w:rPr>
              <w:t>ctures and classes</w:t>
            </w:r>
            <w:r>
              <w:t xml:space="preserve">. Most courses consist of 7.5, 15 or 30 </w:t>
            </w:r>
            <w:proofErr w:type="spellStart"/>
            <w:r>
              <w:t>ECTS</w:t>
            </w:r>
            <w:proofErr w:type="spellEnd"/>
            <w:r>
              <w:t>.</w:t>
            </w:r>
          </w:p>
          <w:p w14:paraId="685AB393" w14:textId="77777777" w:rsidR="00715383" w:rsidRDefault="00715383" w:rsidP="00715383">
            <w:pPr>
              <w:pStyle w:val="NormalUmU"/>
              <w:rPr>
                <w:color w:val="000000"/>
              </w:rPr>
            </w:pPr>
            <w:r>
              <w:t>Students</w:t>
            </w:r>
            <w:r w:rsidRPr="00E41040">
              <w:t xml:space="preserve"> should not apply for several </w:t>
            </w:r>
            <w:r>
              <w:t>full-time (and day-time)</w:t>
            </w:r>
            <w:r w:rsidRPr="00E41040">
              <w:t xml:space="preserve"> courses that run </w:t>
            </w:r>
            <w:r>
              <w:t>during the</w:t>
            </w:r>
            <w:r w:rsidRPr="00E41040">
              <w:t xml:space="preserve"> same weeks because </w:t>
            </w:r>
            <w:r>
              <w:t>there may be a clash of schedules. I</w:t>
            </w:r>
            <w:r w:rsidRPr="00E41040">
              <w:t xml:space="preserve">t </w:t>
            </w:r>
            <w:r>
              <w:t>is important to check the “Application information”</w:t>
            </w:r>
            <w:r w:rsidRPr="00E41040">
              <w:t xml:space="preserve"> on the individual course page to find out the duration and tempo of the course. </w:t>
            </w:r>
          </w:p>
        </w:tc>
      </w:tr>
      <w:tr w:rsidR="00715383" w:rsidRPr="00A96B49" w14:paraId="34369474" w14:textId="77777777" w:rsidTr="00B72A9B">
        <w:trPr>
          <w:trHeight w:val="889"/>
        </w:trPr>
        <w:tc>
          <w:tcPr>
            <w:tcW w:w="3611" w:type="dxa"/>
          </w:tcPr>
          <w:p w14:paraId="1C5F00D2" w14:textId="77777777" w:rsidR="00715383" w:rsidRPr="00E41040" w:rsidRDefault="00715383" w:rsidP="00B72A9B">
            <w:pPr>
              <w:rPr>
                <w:b/>
                <w:lang w:val="en-US"/>
              </w:rPr>
            </w:pPr>
            <w:r>
              <w:rPr>
                <w:b/>
                <w:lang w:val="en-US"/>
              </w:rPr>
              <w:br/>
              <w:t xml:space="preserve">Are there </w:t>
            </w:r>
            <w:r w:rsidRPr="00E41040">
              <w:rPr>
                <w:b/>
                <w:lang w:val="en-US"/>
              </w:rPr>
              <w:t xml:space="preserve">restrictions on the types of courses our students may take?  </w:t>
            </w:r>
          </w:p>
        </w:tc>
        <w:tc>
          <w:tcPr>
            <w:tcW w:w="6289" w:type="dxa"/>
          </w:tcPr>
          <w:p w14:paraId="03AF2CAB" w14:textId="3A31099C" w:rsidR="00715383" w:rsidRDefault="00715383" w:rsidP="00715383">
            <w:pPr>
              <w:pStyle w:val="NormalUmU"/>
            </w:pPr>
            <w:r>
              <w:br/>
              <w:t xml:space="preserve">The number of credits exchange students can be admitted to is restricted to 30 </w:t>
            </w:r>
            <w:proofErr w:type="spellStart"/>
            <w:r>
              <w:t>ECTS</w:t>
            </w:r>
            <w:proofErr w:type="spellEnd"/>
            <w:r>
              <w:t xml:space="preserve"> per term (with the exemption of </w:t>
            </w:r>
            <w:r w:rsidRPr="00253FD8">
              <w:rPr>
                <w:i/>
              </w:rPr>
              <w:t xml:space="preserve">Swedish for international </w:t>
            </w:r>
            <w:proofErr w:type="gramStart"/>
            <w:r w:rsidRPr="00253FD8">
              <w:rPr>
                <w:i/>
              </w:rPr>
              <w:t>students</w:t>
            </w:r>
            <w:proofErr w:type="gramEnd"/>
            <w:r w:rsidRPr="00253FD8">
              <w:rPr>
                <w:i/>
              </w:rPr>
              <w:t xml:space="preserve"> beginners</w:t>
            </w:r>
            <w:r>
              <w:rPr>
                <w:i/>
              </w:rPr>
              <w:t>’</w:t>
            </w:r>
            <w:r w:rsidRPr="00253FD8">
              <w:rPr>
                <w:i/>
              </w:rPr>
              <w:t xml:space="preserve"> course I </w:t>
            </w:r>
            <w:r w:rsidR="00AE43D7">
              <w:t>or</w:t>
            </w:r>
            <w:r>
              <w:t xml:space="preserve"> </w:t>
            </w:r>
            <w:r w:rsidRPr="00253FD8">
              <w:rPr>
                <w:i/>
              </w:rPr>
              <w:t>Swedish for international students, beginners</w:t>
            </w:r>
            <w:r>
              <w:rPr>
                <w:i/>
              </w:rPr>
              <w:t>’</w:t>
            </w:r>
            <w:r w:rsidRPr="00253FD8">
              <w:rPr>
                <w:i/>
              </w:rPr>
              <w:t xml:space="preserve"> course II</w:t>
            </w:r>
            <w:r>
              <w:t xml:space="preserve"> that can be added to 30 </w:t>
            </w:r>
            <w:proofErr w:type="spellStart"/>
            <w:r>
              <w:t>ECTS</w:t>
            </w:r>
            <w:proofErr w:type="spellEnd"/>
            <w:r>
              <w:t xml:space="preserve"> in other subjects)</w:t>
            </w:r>
          </w:p>
          <w:p w14:paraId="72514E52" w14:textId="77777777" w:rsidR="00715383" w:rsidRPr="008E6BF4" w:rsidRDefault="00715383" w:rsidP="00715383">
            <w:pPr>
              <w:pStyle w:val="NormalUmU"/>
            </w:pPr>
            <w:r>
              <w:lastRenderedPageBreak/>
              <w:t xml:space="preserve">Exchange students should only apply for courses on this web page: </w:t>
            </w:r>
            <w:hyperlink r:id="rId13" w:history="1">
              <w:r w:rsidRPr="00795410">
                <w:rPr>
                  <w:rStyle w:val="Hyperlnk"/>
                </w:rPr>
                <w:t>www.student.umu.se/english/during-your-studies/your-continued-studies/courselist</w:t>
              </w:r>
            </w:hyperlink>
            <w:r>
              <w:br/>
              <w:t>To be accepted, it is necessary to fulfill the requirements of the course and there has to be available places. The requirements</w:t>
            </w:r>
            <w:r w:rsidRPr="00E41040">
              <w:t xml:space="preserve"> are </w:t>
            </w:r>
            <w:r w:rsidRPr="00715383">
              <w:t>stated under the course descriptions. You will find the course descriptions in the online course catalogue.</w:t>
            </w:r>
          </w:p>
        </w:tc>
      </w:tr>
      <w:tr w:rsidR="00715383" w:rsidRPr="00995AB3" w14:paraId="072D32EF" w14:textId="77777777" w:rsidTr="00B72A9B">
        <w:trPr>
          <w:cantSplit/>
          <w:trHeight w:val="1317"/>
        </w:trPr>
        <w:tc>
          <w:tcPr>
            <w:tcW w:w="3611" w:type="dxa"/>
          </w:tcPr>
          <w:p w14:paraId="2CE9F8F0" w14:textId="77777777" w:rsidR="00715383" w:rsidRPr="00336FE4" w:rsidRDefault="00715383" w:rsidP="00B72A9B">
            <w:pPr>
              <w:rPr>
                <w:lang w:val="en-US"/>
              </w:rPr>
            </w:pPr>
            <w:r w:rsidRPr="00A74BFC">
              <w:rPr>
                <w:b/>
                <w:lang w:val="en-US"/>
              </w:rPr>
              <w:lastRenderedPageBreak/>
              <w:br/>
              <w:t>Grading system:</w:t>
            </w:r>
          </w:p>
          <w:p w14:paraId="26FFDE04" w14:textId="77777777" w:rsidR="00715383" w:rsidRPr="00336FE4" w:rsidRDefault="00715383" w:rsidP="00B72A9B">
            <w:pPr>
              <w:ind w:left="2799" w:hanging="2520"/>
              <w:rPr>
                <w:b/>
                <w:lang w:val="en-US"/>
              </w:rPr>
            </w:pPr>
          </w:p>
        </w:tc>
        <w:tc>
          <w:tcPr>
            <w:tcW w:w="6289" w:type="dxa"/>
          </w:tcPr>
          <w:p w14:paraId="40F4F63A" w14:textId="77777777" w:rsidR="00715383" w:rsidRDefault="00715383" w:rsidP="00715383">
            <w:pPr>
              <w:pStyle w:val="NormalUmU"/>
              <w:rPr>
                <w:rFonts w:ascii="AGaramondPro-Regular" w:hAnsi="AGaramondPro-Regular"/>
              </w:rPr>
            </w:pPr>
            <w:r>
              <w:rPr>
                <w:rStyle w:val="Stark"/>
                <w:rFonts w:cs="Arial"/>
              </w:rPr>
              <w:br/>
            </w:r>
            <w:r>
              <w:t>T</w:t>
            </w:r>
            <w:r w:rsidRPr="00996134">
              <w:t>he Higher Education Ordinance states that the following grades may be awarded:</w:t>
            </w:r>
            <w:r>
              <w:t xml:space="preserve"> </w:t>
            </w:r>
            <w:r w:rsidRPr="00996134">
              <w:t>Pass with Distinction (</w:t>
            </w:r>
            <w:proofErr w:type="spellStart"/>
            <w:r w:rsidRPr="00996134">
              <w:rPr>
                <w:rFonts w:cs="AGaramondPro-Italic"/>
                <w:i/>
                <w:iCs/>
              </w:rPr>
              <w:t>väl</w:t>
            </w:r>
            <w:proofErr w:type="spellEnd"/>
            <w:r w:rsidRPr="00996134">
              <w:rPr>
                <w:rFonts w:cs="AGaramondPro-Italic"/>
                <w:i/>
                <w:iCs/>
              </w:rPr>
              <w:t xml:space="preserve"> </w:t>
            </w:r>
            <w:proofErr w:type="spellStart"/>
            <w:r w:rsidRPr="00996134">
              <w:rPr>
                <w:rFonts w:cs="AGaramondPro-Italic"/>
                <w:i/>
                <w:iCs/>
              </w:rPr>
              <w:t>godkänd</w:t>
            </w:r>
            <w:proofErr w:type="spellEnd"/>
            <w:r w:rsidRPr="00996134">
              <w:t>), Pass (</w:t>
            </w:r>
            <w:proofErr w:type="spellStart"/>
            <w:r w:rsidRPr="00996134">
              <w:rPr>
                <w:rFonts w:cs="AGaramondPro-Italic"/>
                <w:i/>
                <w:iCs/>
              </w:rPr>
              <w:t>godkänd</w:t>
            </w:r>
            <w:proofErr w:type="spellEnd"/>
            <w:r w:rsidRPr="00996134">
              <w:t>) or Fail (</w:t>
            </w:r>
            <w:proofErr w:type="spellStart"/>
            <w:r w:rsidRPr="00996134">
              <w:rPr>
                <w:rFonts w:cs="AGaramondPro-Italic"/>
                <w:i/>
                <w:iCs/>
              </w:rPr>
              <w:t>underkänd</w:t>
            </w:r>
            <w:proofErr w:type="spellEnd"/>
            <w:r w:rsidRPr="00996134">
              <w:t>) unless the institution decides to grade on some other scale. A number of courses use only two grades: Pass or Fail. Others, for example in Law and Engineering, traditionally use scales with several levels – expressed as letters or numbers. No overall grade is given for a degree and students are not ranked</w:t>
            </w:r>
            <w:r w:rsidRPr="00996134">
              <w:rPr>
                <w:rFonts w:ascii="AGaramondPro-Regular" w:hAnsi="AGaramondPro-Regular"/>
              </w:rPr>
              <w:t>.</w:t>
            </w:r>
            <w:r>
              <w:rPr>
                <w:rFonts w:ascii="AGaramondPro-Regular" w:hAnsi="AGaramondPro-Regular"/>
              </w:rPr>
              <w:t xml:space="preserve"> </w:t>
            </w:r>
          </w:p>
          <w:p w14:paraId="1096E072" w14:textId="77777777" w:rsidR="00715383" w:rsidRPr="00374F52" w:rsidRDefault="00715383" w:rsidP="00715383">
            <w:pPr>
              <w:pStyle w:val="NormalUmU"/>
              <w:rPr>
                <w:lang w:val="en-GB"/>
              </w:rPr>
            </w:pPr>
            <w:r w:rsidRPr="00CD72EA">
              <w:rPr>
                <w:lang w:val="en-GB"/>
              </w:rPr>
              <w:t xml:space="preserve">For comparison of grades, The Vice-Chancellor of </w:t>
            </w:r>
            <w:proofErr w:type="spellStart"/>
            <w:r w:rsidRPr="00CD72EA">
              <w:rPr>
                <w:lang w:val="en-GB"/>
              </w:rPr>
              <w:t>Umeå</w:t>
            </w:r>
            <w:proofErr w:type="spellEnd"/>
            <w:r w:rsidRPr="00CD72EA">
              <w:rPr>
                <w:lang w:val="en-GB"/>
              </w:rPr>
              <w:t xml:space="preserve"> University has decided that the </w:t>
            </w:r>
            <w:proofErr w:type="spellStart"/>
            <w:r w:rsidRPr="00CD72EA">
              <w:rPr>
                <w:lang w:val="en-GB"/>
              </w:rPr>
              <w:t>ECTS</w:t>
            </w:r>
            <w:proofErr w:type="spellEnd"/>
            <w:r w:rsidRPr="00CD72EA">
              <w:rPr>
                <w:lang w:val="en-GB"/>
              </w:rPr>
              <w:t xml:space="preserve"> Grading Table </w:t>
            </w:r>
            <w:r>
              <w:rPr>
                <w:lang w:val="en-GB"/>
              </w:rPr>
              <w:t>(</w:t>
            </w:r>
            <w:proofErr w:type="spellStart"/>
            <w:r>
              <w:rPr>
                <w:lang w:val="en-GB"/>
              </w:rPr>
              <w:t>EGT</w:t>
            </w:r>
            <w:proofErr w:type="spellEnd"/>
            <w:r>
              <w:rPr>
                <w:lang w:val="en-GB"/>
              </w:rPr>
              <w:t xml:space="preserve">) </w:t>
            </w:r>
            <w:r w:rsidRPr="00CD72EA">
              <w:rPr>
                <w:lang w:val="en-GB"/>
              </w:rPr>
              <w:t xml:space="preserve">shall be used instead of the </w:t>
            </w:r>
            <w:proofErr w:type="spellStart"/>
            <w:r w:rsidRPr="00CD72EA">
              <w:rPr>
                <w:lang w:val="en-GB"/>
              </w:rPr>
              <w:t>ECTS</w:t>
            </w:r>
            <w:proofErr w:type="spellEnd"/>
            <w:r w:rsidRPr="00CD72EA">
              <w:rPr>
                <w:lang w:val="en-GB"/>
              </w:rPr>
              <w:t xml:space="preserve"> grading scale (A-F).</w:t>
            </w:r>
            <w:r>
              <w:rPr>
                <w:lang w:val="en-GB"/>
              </w:rPr>
              <w:t xml:space="preserve"> G</w:t>
            </w:r>
            <w:r w:rsidRPr="005C234E">
              <w:rPr>
                <w:lang w:val="en-GB"/>
              </w:rPr>
              <w:t>rade distribution will not show for courses established less than two years before the date when the student has completed his/her course</w:t>
            </w:r>
            <w:r>
              <w:rPr>
                <w:lang w:val="en-GB"/>
              </w:rPr>
              <w:t>. Student’s home university is responsible for any translation into their local grading system.</w:t>
            </w:r>
          </w:p>
        </w:tc>
      </w:tr>
      <w:tr w:rsidR="00715383" w:rsidRPr="00A96B49" w14:paraId="2EFA8F4F" w14:textId="77777777" w:rsidTr="00B72A9B">
        <w:trPr>
          <w:trHeight w:val="1317"/>
        </w:trPr>
        <w:tc>
          <w:tcPr>
            <w:tcW w:w="3611" w:type="dxa"/>
          </w:tcPr>
          <w:p w14:paraId="6C07B32B" w14:textId="77777777" w:rsidR="00715383" w:rsidRDefault="00715383" w:rsidP="00B72A9B">
            <w:pPr>
              <w:rPr>
                <w:b/>
              </w:rPr>
            </w:pPr>
            <w:r w:rsidRPr="00A74BFC">
              <w:rPr>
                <w:b/>
                <w:lang w:val="en-US"/>
              </w:rPr>
              <w:br/>
            </w:r>
            <w:r>
              <w:rPr>
                <w:b/>
              </w:rPr>
              <w:t>Transcripts:</w:t>
            </w:r>
          </w:p>
        </w:tc>
        <w:tc>
          <w:tcPr>
            <w:tcW w:w="6289" w:type="dxa"/>
          </w:tcPr>
          <w:p w14:paraId="7E71693C" w14:textId="77777777" w:rsidR="00715383" w:rsidRPr="00715383" w:rsidRDefault="00715383" w:rsidP="00715383">
            <w:pPr>
              <w:pStyle w:val="NormalUmU"/>
              <w:rPr>
                <w:rStyle w:val="Stark"/>
                <w:rFonts w:cs="Arial"/>
                <w:b w:val="0"/>
              </w:rPr>
            </w:pPr>
            <w:r w:rsidRPr="00715383">
              <w:rPr>
                <w:rStyle w:val="Stark"/>
                <w:rFonts w:cs="Arial"/>
                <w:b w:val="0"/>
              </w:rPr>
              <w:br/>
              <w:t xml:space="preserve">Transcripts for exchange students are sent to the student’s home university at the end of their study period at </w:t>
            </w:r>
            <w:proofErr w:type="spellStart"/>
            <w:r w:rsidRPr="00715383">
              <w:rPr>
                <w:rStyle w:val="Stark"/>
                <w:rFonts w:cs="Arial"/>
                <w:b w:val="0"/>
              </w:rPr>
              <w:t>Umeå</w:t>
            </w:r>
            <w:proofErr w:type="spellEnd"/>
            <w:r w:rsidRPr="00715383">
              <w:rPr>
                <w:rStyle w:val="Stark"/>
                <w:rFonts w:cs="Arial"/>
                <w:b w:val="0"/>
              </w:rPr>
              <w:t xml:space="preserve"> University. </w:t>
            </w:r>
            <w:r w:rsidRPr="00715383">
              <w:rPr>
                <w:rStyle w:val="Stark"/>
                <w:rFonts w:cs="Arial"/>
                <w:b w:val="0"/>
              </w:rPr>
              <w:br/>
              <w:t>Transcripts are usually posted:</w:t>
            </w:r>
          </w:p>
          <w:p w14:paraId="5FDF234C" w14:textId="77777777" w:rsidR="00715383" w:rsidRPr="00715383" w:rsidRDefault="00715383" w:rsidP="00715383">
            <w:pPr>
              <w:pStyle w:val="NormalUmU"/>
              <w:rPr>
                <w:rStyle w:val="Stark"/>
                <w:rFonts w:cs="Arial"/>
                <w:b w:val="0"/>
              </w:rPr>
            </w:pPr>
            <w:r w:rsidRPr="00715383">
              <w:rPr>
                <w:rStyle w:val="Stark"/>
                <w:rFonts w:cs="Arial"/>
              </w:rPr>
              <w:t>Spring term:</w:t>
            </w:r>
            <w:r w:rsidRPr="00715383">
              <w:rPr>
                <w:rStyle w:val="Stark"/>
                <w:rFonts w:cs="Arial"/>
                <w:b w:val="0"/>
              </w:rPr>
              <w:t xml:space="preserve"> </w:t>
            </w:r>
            <w:proofErr w:type="spellStart"/>
            <w:r w:rsidRPr="00715383">
              <w:rPr>
                <w:rStyle w:val="Stark"/>
                <w:rFonts w:cs="Arial"/>
                <w:b w:val="0"/>
              </w:rPr>
              <w:t>Mid June</w:t>
            </w:r>
            <w:proofErr w:type="spellEnd"/>
            <w:r w:rsidRPr="00715383">
              <w:rPr>
                <w:rStyle w:val="Stark"/>
                <w:rFonts w:cs="Arial"/>
                <w:b w:val="0"/>
              </w:rPr>
              <w:br/>
            </w:r>
            <w:r w:rsidRPr="00715383">
              <w:rPr>
                <w:rStyle w:val="Stark"/>
                <w:rFonts w:cs="Arial"/>
              </w:rPr>
              <w:t xml:space="preserve">Autumn term: </w:t>
            </w:r>
            <w:proofErr w:type="spellStart"/>
            <w:r w:rsidRPr="00715383">
              <w:rPr>
                <w:rStyle w:val="Stark"/>
                <w:rFonts w:cs="Arial"/>
                <w:b w:val="0"/>
              </w:rPr>
              <w:t>Mid February</w:t>
            </w:r>
            <w:proofErr w:type="spellEnd"/>
          </w:p>
          <w:p w14:paraId="0E5A083C" w14:textId="77777777" w:rsidR="00715383" w:rsidRPr="00715383" w:rsidRDefault="00715383" w:rsidP="00715383">
            <w:pPr>
              <w:pStyle w:val="NormalUmU"/>
              <w:rPr>
                <w:rStyle w:val="Stark"/>
                <w:rFonts w:cs="Arial"/>
                <w:b w:val="0"/>
              </w:rPr>
            </w:pPr>
            <w:r w:rsidRPr="00715383">
              <w:rPr>
                <w:rStyle w:val="Stark"/>
                <w:rFonts w:cs="Arial"/>
                <w:b w:val="0"/>
              </w:rPr>
              <w:t xml:space="preserve">Students can request transcripts by filling out the contact form on via the link below: </w:t>
            </w:r>
            <w:r w:rsidRPr="00715383">
              <w:rPr>
                <w:rStyle w:val="Stark"/>
                <w:rFonts w:cs="Arial"/>
                <w:b w:val="0"/>
              </w:rPr>
              <w:br/>
              <w:t>www.infocenter.umu.se/english/?languageId=1</w:t>
            </w:r>
          </w:p>
        </w:tc>
      </w:tr>
      <w:tr w:rsidR="00715383" w:rsidRPr="00A96B49" w14:paraId="6EDD3EFF" w14:textId="77777777" w:rsidTr="00715383">
        <w:trPr>
          <w:trHeight w:val="1818"/>
        </w:trPr>
        <w:tc>
          <w:tcPr>
            <w:tcW w:w="3611" w:type="dxa"/>
          </w:tcPr>
          <w:p w14:paraId="5D58954D" w14:textId="77777777" w:rsidR="00715383" w:rsidRPr="00A74BFC" w:rsidRDefault="00715383" w:rsidP="00B72A9B">
            <w:pPr>
              <w:rPr>
                <w:b/>
                <w:lang w:val="en-US"/>
              </w:rPr>
            </w:pPr>
            <w:r>
              <w:rPr>
                <w:b/>
                <w:lang w:val="en-US"/>
              </w:rPr>
              <w:br/>
              <w:t xml:space="preserve">Support for students with disabilities: </w:t>
            </w:r>
          </w:p>
        </w:tc>
        <w:tc>
          <w:tcPr>
            <w:tcW w:w="6289" w:type="dxa"/>
          </w:tcPr>
          <w:p w14:paraId="2A648F61" w14:textId="77777777" w:rsidR="00715383" w:rsidRPr="00422A59" w:rsidRDefault="00715383" w:rsidP="00715383">
            <w:pPr>
              <w:pStyle w:val="NormalUmU"/>
              <w:rPr>
                <w:rStyle w:val="Stark"/>
                <w:b w:val="0"/>
                <w:bCs w:val="0"/>
              </w:rPr>
            </w:pPr>
            <w:r>
              <w:br/>
            </w:r>
            <w:r w:rsidRPr="00023FF3">
              <w:t>As a student with a disability, you can receive different types of support in connection with your studies.</w:t>
            </w:r>
            <w:r>
              <w:br/>
            </w:r>
            <w:r>
              <w:rPr>
                <w:color w:val="000000"/>
              </w:rPr>
              <w:br/>
            </w:r>
            <w:r>
              <w:rPr>
                <w:rStyle w:val="Stark"/>
                <w:rFonts w:cs="Arial"/>
              </w:rPr>
              <w:t>For further information, please visit:</w:t>
            </w:r>
            <w:r>
              <w:rPr>
                <w:rFonts w:cs="Arial"/>
                <w:b/>
                <w:bCs/>
              </w:rPr>
              <w:br/>
            </w:r>
            <w:hyperlink r:id="rId14" w:history="1">
              <w:r>
                <w:rPr>
                  <w:rStyle w:val="Hyperlnk"/>
                  <w:rFonts w:cs="Arial"/>
                </w:rPr>
                <w:t>www.student.umu.se/en/disability-services</w:t>
              </w:r>
            </w:hyperlink>
          </w:p>
        </w:tc>
      </w:tr>
    </w:tbl>
    <w:p w14:paraId="1BF48C0D" w14:textId="77777777" w:rsidR="009C09BE" w:rsidRDefault="00715383" w:rsidP="009C09BE">
      <w:pPr>
        <w:pStyle w:val="Rubrik2"/>
        <w:rPr>
          <w:lang w:val="en-US"/>
        </w:rPr>
        <w:sectPr w:rsidR="009C09BE" w:rsidSect="009B7A32">
          <w:pgSz w:w="11907" w:h="16839" w:code="9"/>
          <w:pgMar w:top="2211" w:right="1588" w:bottom="1701" w:left="1588" w:header="680" w:footer="680" w:gutter="0"/>
          <w:cols w:space="720"/>
          <w:docGrid w:linePitch="360"/>
        </w:sectPr>
      </w:pPr>
      <w:r w:rsidRPr="00370A0A">
        <w:rPr>
          <w:lang w:val="en-US"/>
        </w:rPr>
        <w:br/>
      </w:r>
    </w:p>
    <w:p w14:paraId="3A5E8067" w14:textId="60724CAE" w:rsidR="00715383" w:rsidRPr="00370A0A" w:rsidRDefault="00715383" w:rsidP="009C09BE">
      <w:pPr>
        <w:pStyle w:val="Rubrik2"/>
        <w:rPr>
          <w:lang w:val="en-US"/>
        </w:rPr>
      </w:pPr>
      <w:r w:rsidRPr="00370A0A">
        <w:rPr>
          <w:lang w:val="en-US"/>
        </w:rPr>
        <w:lastRenderedPageBreak/>
        <w:t>Accommodation information</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072"/>
      </w:tblGrid>
      <w:tr w:rsidR="00715383" w:rsidRPr="00A96B49" w14:paraId="760F2F5C" w14:textId="77777777" w:rsidTr="00B72A9B">
        <w:trPr>
          <w:trHeight w:val="755"/>
        </w:trPr>
        <w:tc>
          <w:tcPr>
            <w:tcW w:w="3936" w:type="dxa"/>
          </w:tcPr>
          <w:p w14:paraId="5670CB47" w14:textId="77777777" w:rsidR="00715383" w:rsidRPr="006E0123" w:rsidRDefault="00715383" w:rsidP="00B72A9B">
            <w:pPr>
              <w:rPr>
                <w:lang w:val="en-US"/>
              </w:rPr>
            </w:pPr>
            <w:r w:rsidRPr="00A74BFC">
              <w:rPr>
                <w:b/>
                <w:lang w:val="en-US"/>
              </w:rPr>
              <w:br/>
            </w:r>
            <w:r w:rsidRPr="00811812">
              <w:rPr>
                <w:b/>
                <w:lang w:val="en-US"/>
              </w:rPr>
              <w:t xml:space="preserve">Exchange </w:t>
            </w:r>
            <w:r>
              <w:rPr>
                <w:b/>
                <w:lang w:val="en-US"/>
              </w:rPr>
              <w:t>s</w:t>
            </w:r>
            <w:r w:rsidRPr="00811812">
              <w:rPr>
                <w:b/>
                <w:lang w:val="en-US"/>
              </w:rPr>
              <w:t xml:space="preserve">tudent </w:t>
            </w:r>
            <w:r>
              <w:rPr>
                <w:b/>
                <w:lang w:val="en-US"/>
              </w:rPr>
              <w:t>h</w:t>
            </w:r>
            <w:r w:rsidRPr="00A74BFC">
              <w:rPr>
                <w:b/>
                <w:lang w:val="en-US"/>
              </w:rPr>
              <w:t>ousing:</w:t>
            </w:r>
          </w:p>
          <w:p w14:paraId="40335728" w14:textId="77777777" w:rsidR="00715383" w:rsidRPr="006E0123" w:rsidRDefault="00715383" w:rsidP="00B72A9B">
            <w:pPr>
              <w:ind w:left="3159" w:hanging="2880"/>
              <w:rPr>
                <w:lang w:val="en-US"/>
              </w:rPr>
            </w:pPr>
          </w:p>
        </w:tc>
        <w:tc>
          <w:tcPr>
            <w:tcW w:w="6072" w:type="dxa"/>
          </w:tcPr>
          <w:p w14:paraId="0CA376BF" w14:textId="77777777" w:rsidR="00715383" w:rsidRPr="00C9589D" w:rsidRDefault="00715383" w:rsidP="00715383">
            <w:pPr>
              <w:pStyle w:val="NormalUmU"/>
            </w:pPr>
            <w:r>
              <w:br/>
            </w:r>
            <w:proofErr w:type="spellStart"/>
            <w:r>
              <w:t>Umeå</w:t>
            </w:r>
            <w:proofErr w:type="spellEnd"/>
            <w:r>
              <w:t xml:space="preserve"> University offers s</w:t>
            </w:r>
            <w:r w:rsidRPr="00E41040">
              <w:t xml:space="preserve">tudent </w:t>
            </w:r>
            <w:r>
              <w:t xml:space="preserve">halls of residence close to the university. </w:t>
            </w:r>
            <w:r w:rsidRPr="00E41040">
              <w:t xml:space="preserve">For more information, see the </w:t>
            </w:r>
            <w:r>
              <w:t xml:space="preserve">following website: </w:t>
            </w:r>
            <w:r>
              <w:br/>
            </w:r>
            <w:hyperlink r:id="rId15" w:history="1">
              <w:r w:rsidRPr="00795410">
                <w:rPr>
                  <w:rStyle w:val="Hyperlnk"/>
                </w:rPr>
                <w:t>www.umu.se/english/umea/accommodation/exchange-student</w:t>
              </w:r>
            </w:hyperlink>
            <w:r>
              <w:t xml:space="preserve"> </w:t>
            </w:r>
          </w:p>
        </w:tc>
      </w:tr>
      <w:tr w:rsidR="00715383" w:rsidRPr="00A96B49" w14:paraId="39801E87" w14:textId="77777777" w:rsidTr="00B72A9B">
        <w:trPr>
          <w:trHeight w:val="386"/>
        </w:trPr>
        <w:tc>
          <w:tcPr>
            <w:tcW w:w="3936" w:type="dxa"/>
          </w:tcPr>
          <w:p w14:paraId="3F98E28B" w14:textId="77777777" w:rsidR="00715383" w:rsidRPr="006E0123" w:rsidRDefault="00715383" w:rsidP="00B72A9B">
            <w:pPr>
              <w:rPr>
                <w:lang w:val="en-US"/>
              </w:rPr>
            </w:pPr>
            <w:r w:rsidRPr="00A74BFC">
              <w:rPr>
                <w:b/>
                <w:lang w:val="en-US"/>
              </w:rPr>
              <w:br/>
              <w:t>Cost:</w:t>
            </w:r>
            <w:r w:rsidRPr="00A74BFC">
              <w:rPr>
                <w:lang w:val="en-US"/>
              </w:rPr>
              <w:tab/>
            </w:r>
          </w:p>
          <w:p w14:paraId="6737CDBA" w14:textId="77777777" w:rsidR="00715383" w:rsidRPr="006E0123" w:rsidRDefault="00715383" w:rsidP="00B72A9B">
            <w:pPr>
              <w:ind w:left="3159" w:hanging="2880"/>
              <w:rPr>
                <w:lang w:val="en-US"/>
              </w:rPr>
            </w:pPr>
          </w:p>
        </w:tc>
        <w:tc>
          <w:tcPr>
            <w:tcW w:w="6072" w:type="dxa"/>
          </w:tcPr>
          <w:p w14:paraId="62DC539A" w14:textId="270F7695" w:rsidR="00715383" w:rsidRDefault="00715383" w:rsidP="00715383">
            <w:pPr>
              <w:pStyle w:val="NormalUmU"/>
              <w:rPr>
                <w:rFonts w:cs="Arial"/>
              </w:rPr>
            </w:pPr>
            <w:r>
              <w:rPr>
                <w:rFonts w:cs="Arial"/>
                <w:color w:val="000000"/>
              </w:rPr>
              <w:br/>
              <w:t xml:space="preserve">Prices </w:t>
            </w:r>
            <w:r w:rsidR="006016BB">
              <w:rPr>
                <w:rFonts w:cs="Arial"/>
                <w:color w:val="000000"/>
              </w:rPr>
              <w:t>vary from SEK 12 000–19</w:t>
            </w:r>
            <w:r>
              <w:rPr>
                <w:rFonts w:cs="Arial"/>
                <w:color w:val="000000"/>
              </w:rPr>
              <w:t> 000 per term depending on the area. See area information for more details. A total service fee of around SEK 800 is included.</w:t>
            </w:r>
          </w:p>
        </w:tc>
      </w:tr>
      <w:tr w:rsidR="00715383" w:rsidRPr="00A96B49" w14:paraId="405665E3" w14:textId="77777777" w:rsidTr="00B72A9B">
        <w:trPr>
          <w:trHeight w:val="386"/>
        </w:trPr>
        <w:tc>
          <w:tcPr>
            <w:tcW w:w="3936" w:type="dxa"/>
          </w:tcPr>
          <w:p w14:paraId="031FE3E2" w14:textId="77777777" w:rsidR="00715383" w:rsidRPr="006E0123" w:rsidRDefault="00715383" w:rsidP="00B72A9B">
            <w:pPr>
              <w:rPr>
                <w:b/>
                <w:lang w:val="en-US"/>
              </w:rPr>
            </w:pPr>
            <w:r>
              <w:rPr>
                <w:b/>
                <w:lang w:val="en-US"/>
              </w:rPr>
              <w:t>Meal plan:</w:t>
            </w:r>
          </w:p>
        </w:tc>
        <w:tc>
          <w:tcPr>
            <w:tcW w:w="6072" w:type="dxa"/>
          </w:tcPr>
          <w:p w14:paraId="79760979" w14:textId="77777777" w:rsidR="00715383" w:rsidRDefault="00715383" w:rsidP="00715383">
            <w:pPr>
              <w:pStyle w:val="NormalUmU"/>
            </w:pPr>
            <w:r>
              <w:br/>
            </w:r>
            <w:r w:rsidRPr="00E41040">
              <w:t>Students prepare their own meals in the common kitchen</w:t>
            </w:r>
            <w:r>
              <w:t>,</w:t>
            </w:r>
            <w:r w:rsidRPr="00E41040">
              <w:t xml:space="preserve"> in the student </w:t>
            </w:r>
            <w:r>
              <w:t>halls of residence.</w:t>
            </w:r>
          </w:p>
        </w:tc>
      </w:tr>
      <w:tr w:rsidR="00715383" w:rsidRPr="00A96B49" w14:paraId="7FE65A46" w14:textId="77777777" w:rsidTr="00B72A9B">
        <w:trPr>
          <w:trHeight w:val="535"/>
        </w:trPr>
        <w:tc>
          <w:tcPr>
            <w:tcW w:w="3936" w:type="dxa"/>
          </w:tcPr>
          <w:p w14:paraId="4D8F9AD8" w14:textId="77777777" w:rsidR="00715383" w:rsidRPr="006E0123" w:rsidRDefault="00715383" w:rsidP="00B72A9B">
            <w:pPr>
              <w:rPr>
                <w:b/>
                <w:lang w:val="en-US"/>
              </w:rPr>
            </w:pPr>
            <w:r>
              <w:rPr>
                <w:b/>
                <w:lang w:val="en-US"/>
              </w:rPr>
              <w:br/>
            </w:r>
            <w:r w:rsidRPr="00811812">
              <w:rPr>
                <w:b/>
                <w:lang w:val="en-US"/>
              </w:rPr>
              <w:t>Off-</w:t>
            </w:r>
            <w:r>
              <w:rPr>
                <w:b/>
                <w:lang w:val="en-US"/>
              </w:rPr>
              <w:t>c</w:t>
            </w:r>
            <w:r w:rsidRPr="00811812">
              <w:rPr>
                <w:b/>
                <w:lang w:val="en-US"/>
              </w:rPr>
              <w:t xml:space="preserve">ampus </w:t>
            </w:r>
            <w:r>
              <w:rPr>
                <w:b/>
                <w:lang w:val="en-US"/>
              </w:rPr>
              <w:t>a</w:t>
            </w:r>
            <w:r w:rsidRPr="00A74BFC">
              <w:rPr>
                <w:b/>
                <w:lang w:val="en-US"/>
              </w:rPr>
              <w:t>ccommodation:</w:t>
            </w:r>
          </w:p>
        </w:tc>
        <w:tc>
          <w:tcPr>
            <w:tcW w:w="6072" w:type="dxa"/>
          </w:tcPr>
          <w:p w14:paraId="19342118" w14:textId="32F7F1EE" w:rsidR="00715383" w:rsidRPr="00B45E3F" w:rsidRDefault="00715383" w:rsidP="00715383">
            <w:pPr>
              <w:pStyle w:val="NormalUmU"/>
            </w:pPr>
            <w:r>
              <w:br/>
            </w:r>
            <w:r w:rsidRPr="00E41040">
              <w:t>If you</w:t>
            </w:r>
            <w:r>
              <w:t>r student(s)</w:t>
            </w:r>
            <w:r w:rsidRPr="00E41040">
              <w:t xml:space="preserve"> do not lik</w:t>
            </w:r>
            <w:r>
              <w:t>e the type of housing we have to offer, they</w:t>
            </w:r>
            <w:r w:rsidRPr="00E41040">
              <w:t xml:space="preserve"> ar</w:t>
            </w:r>
            <w:r>
              <w:t>e of course welcome to make their</w:t>
            </w:r>
            <w:r w:rsidRPr="00E41040">
              <w:t xml:space="preserve"> own housing a</w:t>
            </w:r>
            <w:r>
              <w:t xml:space="preserve">rrangements. </w:t>
            </w:r>
            <w:r w:rsidRPr="00023FF3">
              <w:t xml:space="preserve"> We do not advise students to rely on finding their accommodation after their arrival in </w:t>
            </w:r>
            <w:proofErr w:type="spellStart"/>
            <w:r w:rsidRPr="00023FF3">
              <w:t>Umeå</w:t>
            </w:r>
            <w:proofErr w:type="spellEnd"/>
            <w:r w:rsidRPr="00023FF3">
              <w:t>.</w:t>
            </w:r>
            <w:r w:rsidRPr="00023FF3">
              <w:rPr>
                <w:rFonts w:ascii="MingLiU" w:eastAsia="MingLiU" w:hAnsi="MingLiU" w:cs="MingLiU"/>
              </w:rPr>
              <w:br/>
            </w:r>
            <w:r>
              <w:t>More information is available on</w:t>
            </w:r>
            <w:r w:rsidRPr="00E41040">
              <w:t xml:space="preserve"> </w:t>
            </w:r>
            <w:r>
              <w:t xml:space="preserve">the following website: </w:t>
            </w:r>
            <w:r w:rsidR="00995AB3">
              <w:t xml:space="preserve"> </w:t>
            </w:r>
            <w:r w:rsidR="00995AB3" w:rsidRPr="00995AB3">
              <w:t>www.umu.se/en/education/accommodation/student-housing</w:t>
            </w:r>
          </w:p>
        </w:tc>
      </w:tr>
    </w:tbl>
    <w:p w14:paraId="12B23E5B" w14:textId="77777777" w:rsidR="00715383" w:rsidRPr="009C09BE" w:rsidRDefault="00715383" w:rsidP="009C09BE">
      <w:pPr>
        <w:pStyle w:val="Rubrik2"/>
        <w:rPr>
          <w:szCs w:val="32"/>
          <w:lang w:val="en-US"/>
        </w:rPr>
      </w:pPr>
      <w:r w:rsidRPr="009C09BE">
        <w:rPr>
          <w:szCs w:val="32"/>
          <w:lang w:val="en-US"/>
        </w:rPr>
        <w:t>Arrival/Orientation information</w:t>
      </w:r>
    </w:p>
    <w:tbl>
      <w:tblPr>
        <w:tblpPr w:leftFromText="180" w:rightFromText="180" w:vertAnchor="text" w:tblpX="-144"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072"/>
      </w:tblGrid>
      <w:tr w:rsidR="00715383" w:rsidRPr="00F364B7" w14:paraId="4F7FA015" w14:textId="77777777" w:rsidTr="00B72A9B">
        <w:trPr>
          <w:trHeight w:val="841"/>
        </w:trPr>
        <w:tc>
          <w:tcPr>
            <w:tcW w:w="3936" w:type="dxa"/>
          </w:tcPr>
          <w:p w14:paraId="5B0EE78C" w14:textId="77777777" w:rsidR="00715383" w:rsidRDefault="00715383" w:rsidP="00B72A9B">
            <w:pPr>
              <w:pStyle w:val="Brdtextmedindrag"/>
              <w:rPr>
                <w:rFonts w:ascii="Georgia" w:hAnsi="Georgia"/>
                <w:b/>
                <w:bCs/>
              </w:rPr>
            </w:pPr>
          </w:p>
          <w:p w14:paraId="65D5D26E" w14:textId="77777777" w:rsidR="00715383" w:rsidRPr="00C9589D" w:rsidRDefault="00715383" w:rsidP="00B72A9B">
            <w:pPr>
              <w:pStyle w:val="Brdtextmedindrag"/>
              <w:rPr>
                <w:rFonts w:ascii="Georgia" w:hAnsi="Georgia"/>
                <w:b/>
                <w:bCs/>
              </w:rPr>
            </w:pPr>
            <w:r w:rsidRPr="00E41040">
              <w:rPr>
                <w:rFonts w:ascii="Georgia" w:hAnsi="Georgia"/>
                <w:b/>
                <w:bCs/>
              </w:rPr>
              <w:t xml:space="preserve">Orientation dates: </w:t>
            </w:r>
            <w:r w:rsidRPr="00E41040">
              <w:rPr>
                <w:rFonts w:ascii="Georgia" w:hAnsi="Georgia"/>
                <w:b/>
                <w:bCs/>
              </w:rPr>
              <w:tab/>
            </w:r>
          </w:p>
        </w:tc>
        <w:tc>
          <w:tcPr>
            <w:tcW w:w="6072" w:type="dxa"/>
          </w:tcPr>
          <w:p w14:paraId="56F6A75E" w14:textId="7422F8C5" w:rsidR="00715383" w:rsidRPr="005C6F25" w:rsidRDefault="00715383" w:rsidP="00CD14C6">
            <w:pPr>
              <w:pStyle w:val="NormalUmU"/>
            </w:pPr>
            <w:r>
              <w:rPr>
                <w:b/>
              </w:rPr>
              <w:br/>
            </w:r>
            <w:r>
              <w:t>Autumn term 2017</w:t>
            </w:r>
            <w:r w:rsidRPr="009F6B52">
              <w:t>:</w:t>
            </w:r>
            <w:r>
              <w:t xml:space="preserve"> </w:t>
            </w:r>
            <w:r w:rsidR="00CD14C6">
              <w:t xml:space="preserve">23 August </w:t>
            </w:r>
            <w:r>
              <w:t>(Preliminary)</w:t>
            </w:r>
          </w:p>
        </w:tc>
      </w:tr>
      <w:tr w:rsidR="00715383" w:rsidRPr="00A96B49" w14:paraId="37B9B736" w14:textId="77777777" w:rsidTr="00B72A9B">
        <w:trPr>
          <w:trHeight w:val="632"/>
        </w:trPr>
        <w:tc>
          <w:tcPr>
            <w:tcW w:w="3936" w:type="dxa"/>
          </w:tcPr>
          <w:p w14:paraId="6E2D24C9" w14:textId="77777777" w:rsidR="00715383" w:rsidRDefault="00715383" w:rsidP="00B72A9B">
            <w:pPr>
              <w:pStyle w:val="Brdtextmedindrag"/>
              <w:rPr>
                <w:rFonts w:ascii="Georgia" w:hAnsi="Georgia"/>
                <w:b/>
                <w:bCs/>
              </w:rPr>
            </w:pPr>
          </w:p>
          <w:p w14:paraId="54E92715" w14:textId="77777777" w:rsidR="00715383" w:rsidRPr="00107DDD" w:rsidRDefault="00715383" w:rsidP="00B72A9B">
            <w:pPr>
              <w:pStyle w:val="Brdtextmedindrag"/>
              <w:rPr>
                <w:rFonts w:ascii="Georgia" w:hAnsi="Georgia"/>
                <w:b/>
                <w:bCs/>
              </w:rPr>
            </w:pPr>
            <w:r>
              <w:rPr>
                <w:rFonts w:ascii="Georgia" w:hAnsi="Georgia"/>
                <w:b/>
                <w:bCs/>
              </w:rPr>
              <w:t>Where:</w:t>
            </w:r>
          </w:p>
        </w:tc>
        <w:tc>
          <w:tcPr>
            <w:tcW w:w="6072" w:type="dxa"/>
          </w:tcPr>
          <w:p w14:paraId="0F8D3868" w14:textId="77777777" w:rsidR="00715383" w:rsidRDefault="00715383" w:rsidP="00715383">
            <w:pPr>
              <w:pStyle w:val="NormalUmU"/>
              <w:rPr>
                <w:b/>
              </w:rPr>
            </w:pPr>
            <w:r>
              <w:br/>
            </w:r>
            <w:r w:rsidRPr="00E41040">
              <w:t>University Campus (more information will be sent to the admitted students)</w:t>
            </w:r>
            <w:r>
              <w:t>.</w:t>
            </w:r>
          </w:p>
        </w:tc>
      </w:tr>
      <w:tr w:rsidR="00715383" w:rsidRPr="00F93784" w14:paraId="5E1902C5" w14:textId="77777777" w:rsidTr="00B72A9B">
        <w:trPr>
          <w:trHeight w:val="632"/>
        </w:trPr>
        <w:tc>
          <w:tcPr>
            <w:tcW w:w="3936" w:type="dxa"/>
          </w:tcPr>
          <w:p w14:paraId="6AB66CC1" w14:textId="77777777" w:rsidR="00715383" w:rsidRDefault="00715383" w:rsidP="00B72A9B">
            <w:pPr>
              <w:pStyle w:val="Brdtextmedindrag"/>
              <w:rPr>
                <w:rFonts w:ascii="Georgia" w:hAnsi="Georgia"/>
                <w:b/>
                <w:bCs/>
              </w:rPr>
            </w:pPr>
          </w:p>
          <w:p w14:paraId="737715A8" w14:textId="77777777" w:rsidR="00715383" w:rsidRDefault="00715383" w:rsidP="00B72A9B">
            <w:pPr>
              <w:pStyle w:val="Brdtextmedindrag"/>
              <w:rPr>
                <w:rFonts w:ascii="Georgia" w:hAnsi="Georgia"/>
                <w:b/>
                <w:bCs/>
              </w:rPr>
            </w:pPr>
            <w:r>
              <w:rPr>
                <w:rFonts w:ascii="Georgia" w:hAnsi="Georgia"/>
                <w:b/>
                <w:bCs/>
              </w:rPr>
              <w:t>Recommended arrival day:</w:t>
            </w:r>
          </w:p>
        </w:tc>
        <w:tc>
          <w:tcPr>
            <w:tcW w:w="6072" w:type="dxa"/>
          </w:tcPr>
          <w:p w14:paraId="3A86BD4D" w14:textId="52BEF6B0" w:rsidR="00715383" w:rsidRPr="005C6F25" w:rsidRDefault="00715383" w:rsidP="00CD14C6">
            <w:pPr>
              <w:pStyle w:val="NormalUmU"/>
            </w:pPr>
            <w:r>
              <w:br/>
            </w:r>
            <w:r w:rsidRPr="00534B62">
              <w:rPr>
                <w:b/>
              </w:rPr>
              <w:t>Autumn term 2017</w:t>
            </w:r>
            <w:r>
              <w:rPr>
                <w:b/>
              </w:rPr>
              <w:t xml:space="preserve">: </w:t>
            </w:r>
            <w:r w:rsidR="00CD14C6">
              <w:rPr>
                <w:color w:val="000000" w:themeColor="text1"/>
              </w:rPr>
              <w:t>21–22 August</w:t>
            </w:r>
          </w:p>
        </w:tc>
      </w:tr>
      <w:tr w:rsidR="00715383" w:rsidRPr="00A96B49" w14:paraId="542B007E" w14:textId="77777777" w:rsidTr="00B72A9B">
        <w:trPr>
          <w:cantSplit/>
          <w:trHeight w:val="720"/>
        </w:trPr>
        <w:tc>
          <w:tcPr>
            <w:tcW w:w="3936" w:type="dxa"/>
          </w:tcPr>
          <w:p w14:paraId="008C2A91" w14:textId="77777777" w:rsidR="00715383" w:rsidRPr="00E41040" w:rsidRDefault="00715383" w:rsidP="00B72A9B">
            <w:pPr>
              <w:rPr>
                <w:b/>
                <w:lang w:val="en-US"/>
              </w:rPr>
            </w:pPr>
            <w:r>
              <w:rPr>
                <w:b/>
                <w:lang w:val="en-US"/>
              </w:rPr>
              <w:br/>
            </w:r>
            <w:r w:rsidRPr="00E41040">
              <w:rPr>
                <w:b/>
                <w:lang w:val="en-US"/>
              </w:rPr>
              <w:t>Is there a charge for Orientation, if so, how much?</w:t>
            </w:r>
          </w:p>
        </w:tc>
        <w:tc>
          <w:tcPr>
            <w:tcW w:w="6072" w:type="dxa"/>
          </w:tcPr>
          <w:p w14:paraId="1C49BED7" w14:textId="77777777" w:rsidR="00715383" w:rsidRPr="00E41040" w:rsidRDefault="00715383" w:rsidP="00715383">
            <w:pPr>
              <w:pStyle w:val="NormalUmU"/>
            </w:pPr>
            <w:r>
              <w:br/>
            </w:r>
            <w:r w:rsidRPr="00E41040">
              <w:t>There is no charge for the Orientation</w:t>
            </w:r>
            <w:r>
              <w:t xml:space="preserve"> Course.</w:t>
            </w:r>
          </w:p>
        </w:tc>
      </w:tr>
    </w:tbl>
    <w:p w14:paraId="0187C84B" w14:textId="77777777" w:rsidR="00715383" w:rsidRPr="009C09BE" w:rsidRDefault="00715383" w:rsidP="009C09BE">
      <w:pPr>
        <w:pStyle w:val="Rubrik2"/>
        <w:rPr>
          <w:szCs w:val="32"/>
          <w:lang w:val="en-US"/>
        </w:rPr>
      </w:pPr>
      <w:r w:rsidRPr="009C09BE">
        <w:rPr>
          <w:szCs w:val="32"/>
          <w:lang w:val="en-US"/>
        </w:rPr>
        <w:t>Language courses</w:t>
      </w:r>
    </w:p>
    <w:tbl>
      <w:tblPr>
        <w:tblpPr w:leftFromText="180" w:rightFromText="180" w:vertAnchor="text" w:tblpX="-131" w:tblpY="1"/>
        <w:tblOverlap w:val="neve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3"/>
        <w:gridCol w:w="6119"/>
      </w:tblGrid>
      <w:tr w:rsidR="00715383" w:rsidRPr="00A96B49" w14:paraId="08F28BB3" w14:textId="77777777" w:rsidTr="00B72A9B">
        <w:trPr>
          <w:trHeight w:val="1551"/>
        </w:trPr>
        <w:tc>
          <w:tcPr>
            <w:tcW w:w="3923" w:type="dxa"/>
          </w:tcPr>
          <w:p w14:paraId="511BA203" w14:textId="77777777" w:rsidR="00715383" w:rsidRDefault="00715383" w:rsidP="00B72A9B">
            <w:pPr>
              <w:rPr>
                <w:b/>
                <w:lang w:val="en-US"/>
              </w:rPr>
            </w:pPr>
            <w:r>
              <w:rPr>
                <w:b/>
                <w:lang w:val="en-US"/>
              </w:rPr>
              <w:br/>
            </w:r>
            <w:r w:rsidRPr="00DF1883">
              <w:rPr>
                <w:b/>
                <w:lang w:val="en-US"/>
              </w:rPr>
              <w:t>Basic language courses:</w:t>
            </w:r>
            <w:r>
              <w:rPr>
                <w:b/>
                <w:lang w:val="en-US"/>
              </w:rPr>
              <w:t xml:space="preserve"> </w:t>
            </w:r>
          </w:p>
        </w:tc>
        <w:tc>
          <w:tcPr>
            <w:tcW w:w="6119" w:type="dxa"/>
          </w:tcPr>
          <w:p w14:paraId="2C2332D8" w14:textId="65567CA0" w:rsidR="00715383" w:rsidRDefault="009C09BE" w:rsidP="00B72A9B">
            <w:pPr>
              <w:rPr>
                <w:lang w:val="en-US"/>
              </w:rPr>
            </w:pPr>
            <w:r>
              <w:rPr>
                <w:lang w:val="en-US"/>
              </w:rPr>
              <w:t xml:space="preserve">There are </w:t>
            </w:r>
            <w:r w:rsidR="00715383">
              <w:rPr>
                <w:lang w:val="en-US"/>
              </w:rPr>
              <w:t>language courses</w:t>
            </w:r>
            <w:r>
              <w:rPr>
                <w:lang w:val="en-US"/>
              </w:rPr>
              <w:t xml:space="preserve"> offered in Swedish and English:</w:t>
            </w:r>
          </w:p>
          <w:p w14:paraId="5D626108" w14:textId="77777777" w:rsidR="00715383" w:rsidRPr="007352B6" w:rsidRDefault="00715383" w:rsidP="00715383">
            <w:pPr>
              <w:pStyle w:val="Liststycke"/>
              <w:numPr>
                <w:ilvl w:val="0"/>
                <w:numId w:val="21"/>
              </w:numPr>
              <w:spacing w:after="260"/>
              <w:rPr>
                <w:lang w:val="en-US"/>
              </w:rPr>
            </w:pPr>
            <w:r w:rsidRPr="007352B6">
              <w:rPr>
                <w:lang w:val="en-US"/>
              </w:rPr>
              <w:t>Swedish for internation</w:t>
            </w:r>
            <w:r>
              <w:rPr>
                <w:lang w:val="en-US"/>
              </w:rPr>
              <w:t>al students, beginners’</w:t>
            </w:r>
            <w:r w:rsidRPr="007352B6">
              <w:rPr>
                <w:lang w:val="en-US"/>
              </w:rPr>
              <w:t xml:space="preserve"> course I </w:t>
            </w:r>
          </w:p>
          <w:p w14:paraId="22316492" w14:textId="77777777" w:rsidR="00715383" w:rsidRPr="007352B6" w:rsidRDefault="00715383" w:rsidP="00715383">
            <w:pPr>
              <w:pStyle w:val="Liststycke"/>
              <w:numPr>
                <w:ilvl w:val="0"/>
                <w:numId w:val="21"/>
              </w:numPr>
              <w:spacing w:after="260"/>
              <w:rPr>
                <w:lang w:val="en-US"/>
              </w:rPr>
            </w:pPr>
            <w:r w:rsidRPr="007352B6">
              <w:rPr>
                <w:lang w:val="en-US"/>
              </w:rPr>
              <w:t>Swedish for international students, beginner</w:t>
            </w:r>
            <w:r>
              <w:rPr>
                <w:lang w:val="en-US"/>
              </w:rPr>
              <w:t>s’</w:t>
            </w:r>
            <w:r w:rsidRPr="007352B6">
              <w:rPr>
                <w:lang w:val="en-US"/>
              </w:rPr>
              <w:t xml:space="preserve"> course II </w:t>
            </w:r>
          </w:p>
          <w:p w14:paraId="5BEC07C2" w14:textId="77777777" w:rsidR="00715383" w:rsidRPr="0033148B" w:rsidRDefault="00715383" w:rsidP="00715383">
            <w:pPr>
              <w:pStyle w:val="Liststycke"/>
              <w:numPr>
                <w:ilvl w:val="0"/>
                <w:numId w:val="21"/>
              </w:numPr>
              <w:spacing w:after="260"/>
              <w:rPr>
                <w:lang w:val="en-US"/>
              </w:rPr>
            </w:pPr>
            <w:r w:rsidRPr="007352B6">
              <w:rPr>
                <w:lang w:val="en-US"/>
              </w:rPr>
              <w:t>English A for international exchange students</w:t>
            </w:r>
            <w:r>
              <w:rPr>
                <w:lang w:val="en-US"/>
              </w:rPr>
              <w:t xml:space="preserve"> under formal agreements and free movers</w:t>
            </w:r>
          </w:p>
        </w:tc>
      </w:tr>
    </w:tbl>
    <w:p w14:paraId="5BE60CEB" w14:textId="77777777" w:rsidR="00715383" w:rsidRDefault="00715383" w:rsidP="00715383">
      <w:pPr>
        <w:pStyle w:val="Rubrik2"/>
        <w:spacing w:before="0" w:after="120"/>
        <w:rPr>
          <w:lang w:val="en-US"/>
        </w:rPr>
      </w:pPr>
    </w:p>
    <w:tbl>
      <w:tblPr>
        <w:tblpPr w:leftFromText="141" w:rightFromText="141" w:vertAnchor="text" w:horzAnchor="page" w:tblpX="1427" w:tblpY="522"/>
        <w:tblOverlap w:val="neve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2"/>
        <w:gridCol w:w="6213"/>
      </w:tblGrid>
      <w:tr w:rsidR="00715383" w:rsidRPr="00A96B49" w14:paraId="5B93A92B" w14:textId="77777777" w:rsidTr="00B72A9B">
        <w:trPr>
          <w:trHeight w:val="4391"/>
        </w:trPr>
        <w:tc>
          <w:tcPr>
            <w:tcW w:w="3632" w:type="dxa"/>
          </w:tcPr>
          <w:p w14:paraId="238A8ABC" w14:textId="77777777" w:rsidR="00715383" w:rsidRPr="003A52DF" w:rsidRDefault="00715383" w:rsidP="00B72A9B">
            <w:pPr>
              <w:pStyle w:val="Rubrik2"/>
              <w:spacing w:before="0" w:after="120"/>
              <w:rPr>
                <w:lang w:val="en-US"/>
              </w:rPr>
            </w:pPr>
            <w:r>
              <w:rPr>
                <w:lang w:val="en-US"/>
              </w:rPr>
              <w:br/>
              <w:t>Insurance</w:t>
            </w:r>
            <w:r w:rsidRPr="003A52DF">
              <w:rPr>
                <w:lang w:val="en-US"/>
              </w:rPr>
              <w:t>:</w:t>
            </w:r>
          </w:p>
        </w:tc>
        <w:tc>
          <w:tcPr>
            <w:tcW w:w="6213" w:type="dxa"/>
          </w:tcPr>
          <w:p w14:paraId="14F90F56" w14:textId="29B0AC17" w:rsidR="00715383" w:rsidRPr="00D777E9" w:rsidRDefault="00715383" w:rsidP="00715383">
            <w:pPr>
              <w:pStyle w:val="NormalUmU"/>
              <w:rPr>
                <w:rFonts w:eastAsia="Cambria"/>
              </w:rPr>
            </w:pPr>
            <w:r>
              <w:rPr>
                <w:b/>
                <w:lang w:val="en-GB"/>
              </w:rPr>
              <w:br/>
            </w:r>
            <w:r w:rsidRPr="00D777E9">
              <w:rPr>
                <w:rFonts w:eastAsia="Cambria"/>
              </w:rPr>
              <w:t>All exchange students are covered by an insurance policy, Student IN, covering necessary and reasonable costs for emergency health care and dental care. The insurance also covers damage to property. Please note that the insurance amount is restricted for emergency dental care and property damage.  Travel outside of Sweden is not included in the cover. For full details about the Student IN insurance please visit</w:t>
            </w:r>
            <w:r w:rsidR="00995AB3">
              <w:t xml:space="preserve"> </w:t>
            </w:r>
            <w:hyperlink r:id="rId16" w:history="1">
              <w:r w:rsidR="00995AB3" w:rsidRPr="00346E53">
                <w:rPr>
                  <w:rStyle w:val="Hyperlnk"/>
                  <w:rFonts w:eastAsia="Cambria"/>
                </w:rPr>
                <w:t>www.kammarkollegiet.se/en/insurance-students-and-state-employees/student-insurance</w:t>
              </w:r>
            </w:hyperlink>
            <w:r w:rsidR="00995AB3">
              <w:rPr>
                <w:rFonts w:eastAsia="Cambria"/>
              </w:rPr>
              <w:t xml:space="preserve"> </w:t>
            </w:r>
            <w:r>
              <w:rPr>
                <w:rFonts w:eastAsia="Cambria"/>
              </w:rPr>
              <w:t xml:space="preserve"> </w:t>
            </w:r>
          </w:p>
          <w:p w14:paraId="31CE2332" w14:textId="77777777" w:rsidR="00715383" w:rsidRPr="00D777E9" w:rsidRDefault="00715383" w:rsidP="00715383">
            <w:pPr>
              <w:pStyle w:val="NormalUmU"/>
              <w:rPr>
                <w:rFonts w:eastAsia="Cambria"/>
                <w:b/>
              </w:rPr>
            </w:pPr>
            <w:r w:rsidRPr="00D777E9">
              <w:rPr>
                <w:rFonts w:eastAsia="Cambria"/>
                <w:b/>
              </w:rPr>
              <w:t>EU/EEA citizens</w:t>
            </w:r>
            <w:r w:rsidRPr="00D777E9">
              <w:rPr>
                <w:rFonts w:eastAsia="Cambria"/>
              </w:rPr>
              <w:t xml:space="preserve"> are required by the Swedish authorities to bring the European Health Insurance Card to Sweden. They are requested to contact their local National Health Insurance Institution for the required documents, before coming to Sweden.</w:t>
            </w:r>
            <w:r w:rsidRPr="00D777E9">
              <w:rPr>
                <w:rFonts w:eastAsia="Cambria"/>
                <w:b/>
              </w:rPr>
              <w:t xml:space="preserve"> </w:t>
            </w:r>
          </w:p>
          <w:p w14:paraId="4C28FD8B" w14:textId="77777777" w:rsidR="00715383" w:rsidRPr="00682C64" w:rsidRDefault="00715383" w:rsidP="00715383">
            <w:pPr>
              <w:pStyle w:val="NormalUmU"/>
            </w:pPr>
            <w:r w:rsidRPr="00B6473C">
              <w:rPr>
                <w:rFonts w:eastAsia="Cambria"/>
              </w:rPr>
              <w:t>Please note! No matter which nationality, students are strongly advised to have their own Health, Travel and Accident insurance policy.</w:t>
            </w:r>
          </w:p>
        </w:tc>
      </w:tr>
    </w:tbl>
    <w:p w14:paraId="431EF08A" w14:textId="0055075C" w:rsidR="00715383" w:rsidRPr="00912243" w:rsidRDefault="00715383" w:rsidP="00912243">
      <w:pPr>
        <w:pStyle w:val="Rubrik2"/>
        <w:spacing w:before="0" w:after="120" w:line="160" w:lineRule="atLeast"/>
        <w:rPr>
          <w:lang w:val="en-US"/>
        </w:rPr>
      </w:pPr>
      <w:r w:rsidRPr="00A74BFC">
        <w:rPr>
          <w:lang w:val="en-US"/>
        </w:rPr>
        <w:t>Insurance Information</w:t>
      </w:r>
      <w:r w:rsidR="00912243">
        <w:rPr>
          <w:lang w:val="en-US"/>
        </w:rPr>
        <w:br/>
      </w:r>
      <w:r w:rsidR="009C09BE">
        <w:rPr>
          <w:lang w:val="en-GB"/>
        </w:rPr>
        <w:br/>
      </w:r>
      <w:r w:rsidRPr="00370A0A">
        <w:rPr>
          <w:lang w:val="en-GB"/>
        </w:rPr>
        <w:t>Overview of Costs (Approximate)</w:t>
      </w:r>
    </w:p>
    <w:p w14:paraId="14FEAFBC" w14:textId="5907FB89" w:rsidR="00715383" w:rsidRPr="00715383" w:rsidRDefault="00715383" w:rsidP="00715383">
      <w:pPr>
        <w:pStyle w:val="NormalUmU"/>
      </w:pPr>
      <w:r w:rsidRPr="00715383">
        <w:t>Item</w:t>
      </w:r>
      <w:r w:rsidRPr="00715383">
        <w:tab/>
      </w:r>
      <w:r w:rsidRPr="00715383">
        <w:tab/>
      </w:r>
      <w:r w:rsidRPr="00715383">
        <w:tab/>
        <w:t>SEK/Month</w:t>
      </w:r>
      <w:r w:rsidRPr="00715383" w:rsidDel="003975F4">
        <w:t xml:space="preserve"> </w:t>
      </w:r>
    </w:p>
    <w:tbl>
      <w:tblPr>
        <w:tblStyle w:val="Tabellrutnt"/>
        <w:tblW w:w="9180" w:type="dxa"/>
        <w:tblLayout w:type="fixed"/>
        <w:tblLook w:val="04A0" w:firstRow="1" w:lastRow="0" w:firstColumn="1" w:lastColumn="0" w:noHBand="0" w:noVBand="1"/>
      </w:tblPr>
      <w:tblGrid>
        <w:gridCol w:w="3525"/>
        <w:gridCol w:w="5655"/>
      </w:tblGrid>
      <w:tr w:rsidR="00715383" w:rsidRPr="00715383" w14:paraId="2251E529" w14:textId="77777777" w:rsidTr="00B72A9B">
        <w:tc>
          <w:tcPr>
            <w:tcW w:w="3525" w:type="dxa"/>
          </w:tcPr>
          <w:p w14:paraId="09A86B5C" w14:textId="77777777" w:rsidR="00715383" w:rsidRPr="00715383" w:rsidRDefault="00715383" w:rsidP="00715383">
            <w:pPr>
              <w:pStyle w:val="NormalUmU"/>
              <w:rPr>
                <w:rFonts w:asciiTheme="minorHAnsi" w:hAnsiTheme="minorHAnsi"/>
                <w:b/>
              </w:rPr>
            </w:pPr>
            <w:r w:rsidRPr="00715383">
              <w:rPr>
                <w:rFonts w:asciiTheme="minorHAnsi" w:hAnsiTheme="minorHAnsi"/>
                <w:b/>
              </w:rPr>
              <w:t>Food</w:t>
            </w:r>
          </w:p>
        </w:tc>
        <w:tc>
          <w:tcPr>
            <w:tcW w:w="5655" w:type="dxa"/>
          </w:tcPr>
          <w:p w14:paraId="1D2B5468" w14:textId="77777777" w:rsidR="00715383" w:rsidRPr="00715383" w:rsidRDefault="00715383" w:rsidP="00715383">
            <w:pPr>
              <w:pStyle w:val="NormalUmU"/>
              <w:rPr>
                <w:rFonts w:asciiTheme="minorHAnsi" w:hAnsiTheme="minorHAnsi"/>
              </w:rPr>
            </w:pPr>
            <w:r w:rsidRPr="00715383">
              <w:rPr>
                <w:rFonts w:asciiTheme="minorHAnsi" w:hAnsiTheme="minorHAnsi"/>
              </w:rPr>
              <w:t>2000</w:t>
            </w:r>
          </w:p>
        </w:tc>
      </w:tr>
      <w:tr w:rsidR="00715383" w:rsidRPr="00715383" w14:paraId="4B9FBE92" w14:textId="77777777" w:rsidTr="00B72A9B">
        <w:tc>
          <w:tcPr>
            <w:tcW w:w="3525" w:type="dxa"/>
          </w:tcPr>
          <w:p w14:paraId="3AD12565" w14:textId="77777777" w:rsidR="00715383" w:rsidRPr="00715383" w:rsidRDefault="00715383" w:rsidP="00715383">
            <w:pPr>
              <w:pStyle w:val="NormalUmU"/>
              <w:rPr>
                <w:rFonts w:asciiTheme="minorHAnsi" w:hAnsiTheme="minorHAnsi"/>
                <w:b/>
              </w:rPr>
            </w:pPr>
            <w:r w:rsidRPr="00715383">
              <w:rPr>
                <w:rFonts w:asciiTheme="minorHAnsi" w:hAnsiTheme="minorHAnsi"/>
                <w:b/>
              </w:rPr>
              <w:t>Accommodation</w:t>
            </w:r>
          </w:p>
        </w:tc>
        <w:tc>
          <w:tcPr>
            <w:tcW w:w="5655" w:type="dxa"/>
          </w:tcPr>
          <w:p w14:paraId="049462D2" w14:textId="77777777" w:rsidR="00715383" w:rsidRPr="00715383" w:rsidRDefault="00715383" w:rsidP="00715383">
            <w:pPr>
              <w:pStyle w:val="NormalUmU"/>
              <w:rPr>
                <w:rFonts w:asciiTheme="minorHAnsi" w:hAnsiTheme="minorHAnsi"/>
              </w:rPr>
            </w:pPr>
            <w:r w:rsidRPr="00715383">
              <w:rPr>
                <w:rFonts w:asciiTheme="minorHAnsi" w:hAnsiTheme="minorHAnsi"/>
              </w:rPr>
              <w:t>2900</w:t>
            </w:r>
          </w:p>
        </w:tc>
      </w:tr>
      <w:tr w:rsidR="00715383" w:rsidRPr="00715383" w14:paraId="16BB24F7" w14:textId="77777777" w:rsidTr="00B72A9B">
        <w:tc>
          <w:tcPr>
            <w:tcW w:w="3525" w:type="dxa"/>
          </w:tcPr>
          <w:p w14:paraId="4A5ECE4A" w14:textId="77777777" w:rsidR="00715383" w:rsidRPr="00715383" w:rsidRDefault="00715383" w:rsidP="00715383">
            <w:pPr>
              <w:pStyle w:val="NormalUmU"/>
              <w:rPr>
                <w:rFonts w:asciiTheme="minorHAnsi" w:hAnsiTheme="minorHAnsi"/>
                <w:b/>
              </w:rPr>
            </w:pPr>
            <w:r w:rsidRPr="00715383">
              <w:rPr>
                <w:rFonts w:asciiTheme="minorHAnsi" w:hAnsiTheme="minorHAnsi"/>
                <w:b/>
              </w:rPr>
              <w:t>Student union fees, books</w:t>
            </w:r>
          </w:p>
        </w:tc>
        <w:tc>
          <w:tcPr>
            <w:tcW w:w="5655" w:type="dxa"/>
          </w:tcPr>
          <w:p w14:paraId="321CD243" w14:textId="77777777" w:rsidR="00715383" w:rsidRPr="00715383" w:rsidRDefault="00715383" w:rsidP="00715383">
            <w:pPr>
              <w:pStyle w:val="NormalUmU"/>
              <w:rPr>
                <w:rFonts w:asciiTheme="minorHAnsi" w:hAnsiTheme="minorHAnsi"/>
              </w:rPr>
            </w:pPr>
            <w:r w:rsidRPr="00715383">
              <w:rPr>
                <w:rFonts w:asciiTheme="minorHAnsi" w:hAnsiTheme="minorHAnsi"/>
              </w:rPr>
              <w:t>500</w:t>
            </w:r>
          </w:p>
        </w:tc>
      </w:tr>
      <w:tr w:rsidR="00715383" w:rsidRPr="00715383" w14:paraId="2628898F" w14:textId="77777777" w:rsidTr="00B72A9B">
        <w:tc>
          <w:tcPr>
            <w:tcW w:w="3525" w:type="dxa"/>
          </w:tcPr>
          <w:p w14:paraId="2485DC4B" w14:textId="77777777" w:rsidR="00715383" w:rsidRPr="00715383" w:rsidRDefault="00715383" w:rsidP="00715383">
            <w:pPr>
              <w:pStyle w:val="NormalUmU"/>
              <w:rPr>
                <w:rFonts w:asciiTheme="minorHAnsi" w:hAnsiTheme="minorHAnsi"/>
                <w:b/>
              </w:rPr>
            </w:pPr>
            <w:r w:rsidRPr="00715383">
              <w:rPr>
                <w:rFonts w:asciiTheme="minorHAnsi" w:hAnsiTheme="minorHAnsi"/>
                <w:b/>
              </w:rPr>
              <w:t>Phone, TV, Internet, Newspaper</w:t>
            </w:r>
          </w:p>
        </w:tc>
        <w:tc>
          <w:tcPr>
            <w:tcW w:w="5655" w:type="dxa"/>
          </w:tcPr>
          <w:p w14:paraId="3E60E471" w14:textId="77777777" w:rsidR="00715383" w:rsidRPr="00715383" w:rsidRDefault="00715383" w:rsidP="00715383">
            <w:pPr>
              <w:pStyle w:val="NormalUmU"/>
              <w:rPr>
                <w:rFonts w:asciiTheme="minorHAnsi" w:hAnsiTheme="minorHAnsi"/>
              </w:rPr>
            </w:pPr>
            <w:r w:rsidRPr="00715383">
              <w:rPr>
                <w:rFonts w:asciiTheme="minorHAnsi" w:hAnsiTheme="minorHAnsi"/>
              </w:rPr>
              <w:t>300</w:t>
            </w:r>
          </w:p>
        </w:tc>
      </w:tr>
      <w:tr w:rsidR="00715383" w:rsidRPr="00715383" w14:paraId="7C8D97D0" w14:textId="77777777" w:rsidTr="00B72A9B">
        <w:tc>
          <w:tcPr>
            <w:tcW w:w="3525" w:type="dxa"/>
          </w:tcPr>
          <w:p w14:paraId="7C3209DD" w14:textId="77777777" w:rsidR="00715383" w:rsidRPr="00715383" w:rsidRDefault="00715383" w:rsidP="00715383">
            <w:pPr>
              <w:pStyle w:val="NormalUmU"/>
              <w:rPr>
                <w:rFonts w:asciiTheme="minorHAnsi" w:hAnsiTheme="minorHAnsi"/>
                <w:b/>
              </w:rPr>
            </w:pPr>
            <w:r w:rsidRPr="00715383">
              <w:rPr>
                <w:rFonts w:asciiTheme="minorHAnsi" w:hAnsiTheme="minorHAnsi"/>
                <w:b/>
              </w:rPr>
              <w:t>Local travel</w:t>
            </w:r>
          </w:p>
        </w:tc>
        <w:tc>
          <w:tcPr>
            <w:tcW w:w="5655" w:type="dxa"/>
          </w:tcPr>
          <w:p w14:paraId="26B1581A" w14:textId="77777777" w:rsidR="00715383" w:rsidRPr="00715383" w:rsidRDefault="00715383" w:rsidP="00715383">
            <w:pPr>
              <w:pStyle w:val="NormalUmU"/>
              <w:rPr>
                <w:rFonts w:asciiTheme="minorHAnsi" w:hAnsiTheme="minorHAnsi"/>
              </w:rPr>
            </w:pPr>
            <w:r w:rsidRPr="00715383">
              <w:rPr>
                <w:rFonts w:asciiTheme="minorHAnsi" w:hAnsiTheme="minorHAnsi"/>
              </w:rPr>
              <w:t>500</w:t>
            </w:r>
          </w:p>
        </w:tc>
      </w:tr>
      <w:tr w:rsidR="00715383" w:rsidRPr="00715383" w14:paraId="1020029C" w14:textId="77777777" w:rsidTr="00B72A9B">
        <w:tc>
          <w:tcPr>
            <w:tcW w:w="3525" w:type="dxa"/>
          </w:tcPr>
          <w:p w14:paraId="5F05F382" w14:textId="77777777" w:rsidR="00715383" w:rsidRPr="00715383" w:rsidRDefault="00715383" w:rsidP="00715383">
            <w:pPr>
              <w:pStyle w:val="NormalUmU"/>
              <w:rPr>
                <w:rFonts w:asciiTheme="minorHAnsi" w:hAnsiTheme="minorHAnsi"/>
                <w:b/>
              </w:rPr>
            </w:pPr>
            <w:r w:rsidRPr="00715383">
              <w:rPr>
                <w:rFonts w:asciiTheme="minorHAnsi" w:hAnsiTheme="minorHAnsi"/>
                <w:b/>
              </w:rPr>
              <w:t>Medical care, hygiene</w:t>
            </w:r>
          </w:p>
        </w:tc>
        <w:tc>
          <w:tcPr>
            <w:tcW w:w="5655" w:type="dxa"/>
          </w:tcPr>
          <w:p w14:paraId="025BA044" w14:textId="77777777" w:rsidR="00715383" w:rsidRPr="00715383" w:rsidRDefault="00715383" w:rsidP="00715383">
            <w:pPr>
              <w:pStyle w:val="NormalUmU"/>
              <w:rPr>
                <w:rFonts w:asciiTheme="minorHAnsi" w:hAnsiTheme="minorHAnsi"/>
              </w:rPr>
            </w:pPr>
            <w:r w:rsidRPr="00715383">
              <w:rPr>
                <w:rFonts w:asciiTheme="minorHAnsi" w:hAnsiTheme="minorHAnsi"/>
              </w:rPr>
              <w:t>300</w:t>
            </w:r>
          </w:p>
        </w:tc>
      </w:tr>
      <w:tr w:rsidR="00715383" w:rsidRPr="00715383" w14:paraId="022B248B" w14:textId="77777777" w:rsidTr="00B72A9B">
        <w:tc>
          <w:tcPr>
            <w:tcW w:w="3525" w:type="dxa"/>
          </w:tcPr>
          <w:p w14:paraId="3710CD1A" w14:textId="77777777" w:rsidR="00715383" w:rsidRPr="00715383" w:rsidRDefault="00715383" w:rsidP="00715383">
            <w:pPr>
              <w:pStyle w:val="NormalUmU"/>
              <w:rPr>
                <w:rFonts w:asciiTheme="minorHAnsi" w:hAnsiTheme="minorHAnsi"/>
                <w:b/>
              </w:rPr>
            </w:pPr>
            <w:r w:rsidRPr="00715383">
              <w:rPr>
                <w:rFonts w:asciiTheme="minorHAnsi" w:hAnsiTheme="minorHAnsi"/>
                <w:b/>
              </w:rPr>
              <w:t>Clothing, hobby/leisure</w:t>
            </w:r>
          </w:p>
        </w:tc>
        <w:tc>
          <w:tcPr>
            <w:tcW w:w="5655" w:type="dxa"/>
          </w:tcPr>
          <w:p w14:paraId="1A99324B" w14:textId="77777777" w:rsidR="00715383" w:rsidRPr="00715383" w:rsidRDefault="00715383" w:rsidP="00715383">
            <w:pPr>
              <w:pStyle w:val="NormalUmU"/>
              <w:rPr>
                <w:rFonts w:asciiTheme="minorHAnsi" w:hAnsiTheme="minorHAnsi"/>
              </w:rPr>
            </w:pPr>
            <w:r w:rsidRPr="00715383">
              <w:rPr>
                <w:rFonts w:asciiTheme="minorHAnsi" w:hAnsiTheme="minorHAnsi"/>
              </w:rPr>
              <w:t>1100</w:t>
            </w:r>
          </w:p>
        </w:tc>
      </w:tr>
      <w:tr w:rsidR="00715383" w:rsidRPr="00715383" w14:paraId="706D6AC7" w14:textId="77777777" w:rsidTr="00B72A9B">
        <w:tc>
          <w:tcPr>
            <w:tcW w:w="3525" w:type="dxa"/>
          </w:tcPr>
          <w:p w14:paraId="4C258BF0" w14:textId="77777777" w:rsidR="00715383" w:rsidRPr="00715383" w:rsidRDefault="00715383" w:rsidP="00715383">
            <w:pPr>
              <w:pStyle w:val="NormalUmU"/>
              <w:rPr>
                <w:rFonts w:asciiTheme="minorHAnsi" w:hAnsiTheme="minorHAnsi"/>
                <w:b/>
              </w:rPr>
            </w:pPr>
            <w:r w:rsidRPr="00715383">
              <w:rPr>
                <w:rFonts w:asciiTheme="minorHAnsi" w:hAnsiTheme="minorHAnsi"/>
                <w:b/>
              </w:rPr>
              <w:t>Total</w:t>
            </w:r>
          </w:p>
        </w:tc>
        <w:tc>
          <w:tcPr>
            <w:tcW w:w="5655" w:type="dxa"/>
          </w:tcPr>
          <w:p w14:paraId="57764CCE" w14:textId="77777777" w:rsidR="00715383" w:rsidRPr="00715383" w:rsidRDefault="00715383" w:rsidP="00715383">
            <w:pPr>
              <w:pStyle w:val="NormalUmU"/>
              <w:rPr>
                <w:rFonts w:asciiTheme="minorHAnsi" w:hAnsiTheme="minorHAnsi"/>
              </w:rPr>
            </w:pPr>
            <w:r w:rsidRPr="00715383">
              <w:rPr>
                <w:rFonts w:asciiTheme="minorHAnsi" w:hAnsiTheme="minorHAnsi"/>
              </w:rPr>
              <w:t>SEK 7,600*</w:t>
            </w:r>
          </w:p>
        </w:tc>
      </w:tr>
    </w:tbl>
    <w:p w14:paraId="30A63C5F" w14:textId="77777777" w:rsidR="0060265A" w:rsidRPr="00281C80" w:rsidRDefault="00715383" w:rsidP="00E17F2E">
      <w:pPr>
        <w:pStyle w:val="NormalUmU"/>
      </w:pPr>
      <w:r>
        <w:br w:type="textWrapping" w:clear="all"/>
        <w:t xml:space="preserve">* </w:t>
      </w:r>
      <w:r w:rsidRPr="00A74BFC">
        <w:t xml:space="preserve">Please also note that </w:t>
      </w:r>
      <w:r>
        <w:t>if you are</w:t>
      </w:r>
      <w:r w:rsidRPr="00A74BFC">
        <w:t xml:space="preserve"> applying for a residence permit, you must prov</w:t>
      </w:r>
      <w:r>
        <w:t>e to the Swedish Migration Agency</w:t>
      </w:r>
      <w:r w:rsidRPr="00A74BFC">
        <w:t xml:space="preserve"> that you will have a guaranteed sum of money at your disposal throughout the entire period of</w:t>
      </w:r>
      <w:r>
        <w:t xml:space="preserve"> your studies. The amount, SEK </w:t>
      </w:r>
      <w:r>
        <w:rPr>
          <w:b/>
          <w:bCs/>
        </w:rPr>
        <w:t>8010</w:t>
      </w:r>
      <w:r w:rsidRPr="00A74BFC">
        <w:t xml:space="preserve"> per month for ten months of the yea</w:t>
      </w:r>
      <w:r>
        <w:t xml:space="preserve">r, is set by the Migration Agency. </w:t>
      </w:r>
    </w:p>
    <w:sectPr w:rsidR="0060265A" w:rsidRPr="00281C80" w:rsidSect="009B7A32">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BA9AC" w14:textId="77777777" w:rsidR="00710E99" w:rsidRDefault="00710E99" w:rsidP="00190C50">
      <w:pPr>
        <w:spacing w:line="240" w:lineRule="auto"/>
      </w:pPr>
      <w:r>
        <w:separator/>
      </w:r>
    </w:p>
  </w:endnote>
  <w:endnote w:type="continuationSeparator" w:id="0">
    <w:p w14:paraId="7C10B260" w14:textId="77777777" w:rsidR="00710E99" w:rsidRDefault="00710E99"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GaramondPro-Regular">
    <w:charset w:val="00"/>
    <w:family w:val="auto"/>
    <w:pitch w:val="variable"/>
    <w:sig w:usb0="00000007" w:usb1="00000001" w:usb2="00000000" w:usb3="00000000" w:csb0="00000093" w:csb1="00000000"/>
  </w:font>
  <w:font w:name="AGaramondPro-Italic">
    <w:panose1 w:val="00000000000000000000"/>
    <w:charset w:val="00"/>
    <w:family w:val="roman"/>
    <w:notTrueType/>
    <w:pitch w:val="default"/>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RPr="00DC7465" w14:paraId="37291A0D" w14:textId="77777777" w:rsidTr="00912243">
      <w:trPr>
        <w:trHeight w:val="392"/>
      </w:trPr>
      <w:tc>
        <w:tcPr>
          <w:tcW w:w="1752" w:type="dxa"/>
          <w:vAlign w:val="bottom"/>
        </w:tcPr>
        <w:p w14:paraId="3191E822" w14:textId="77777777" w:rsidR="006D7F85" w:rsidRDefault="006D7F85" w:rsidP="006D7F85">
          <w:pPr>
            <w:pStyle w:val="Sidhuvud"/>
          </w:pPr>
        </w:p>
      </w:tc>
      <w:tc>
        <w:tcPr>
          <w:tcW w:w="6854" w:type="dxa"/>
          <w:vAlign w:val="bottom"/>
        </w:tcPr>
        <w:p w14:paraId="45833BC4" w14:textId="0F1EE39A" w:rsidR="006D7F85" w:rsidRPr="00281C80" w:rsidRDefault="00912243" w:rsidP="006D7F85">
          <w:pPr>
            <w:pStyle w:val="Sidhuvud"/>
            <w:spacing w:before="40"/>
            <w:jc w:val="center"/>
            <w:rPr>
              <w:lang w:val="en-US"/>
            </w:rPr>
          </w:pPr>
          <w:r>
            <w:rPr>
              <w:lang w:val="en-US"/>
            </w:rPr>
            <w:t>International Office, Umeå University</w:t>
          </w:r>
          <w:r w:rsidR="006D7F85" w:rsidRPr="00281C80">
            <w:rPr>
              <w:lang w:val="en-US"/>
            </w:rPr>
            <w:t> </w:t>
          </w:r>
          <w:r w:rsidR="00281C80" w:rsidRPr="00281C80">
            <w:rPr>
              <w:lang w:val="en-US"/>
            </w:rPr>
            <w:t>SE-</w:t>
          </w:r>
          <w:r w:rsidR="006D7F85" w:rsidRPr="00281C80">
            <w:rPr>
              <w:lang w:val="en-US"/>
            </w:rPr>
            <w:t>901 87 Umeå www.umu.se</w:t>
          </w:r>
          <w:r w:rsidR="00281C80" w:rsidRPr="00281C80">
            <w:rPr>
              <w:lang w:val="en-US"/>
            </w:rPr>
            <w:t>/english</w:t>
          </w:r>
        </w:p>
      </w:tc>
      <w:tc>
        <w:tcPr>
          <w:tcW w:w="1752" w:type="dxa"/>
          <w:vAlign w:val="bottom"/>
        </w:tcPr>
        <w:p w14:paraId="569898C1" w14:textId="77777777" w:rsidR="006D7F85" w:rsidRPr="00281C80" w:rsidRDefault="006D7F85" w:rsidP="006D7F85">
          <w:pPr>
            <w:pStyle w:val="Sidhuvud"/>
            <w:jc w:val="right"/>
            <w:rPr>
              <w:lang w:val="en-US"/>
            </w:rPr>
          </w:pPr>
          <w:r w:rsidRPr="00281C80">
            <w:rPr>
              <w:lang w:val="en-US"/>
            </w:rPr>
            <w:t xml:space="preserve"> </w:t>
          </w:r>
        </w:p>
      </w:tc>
    </w:tr>
  </w:tbl>
  <w:p w14:paraId="3ED93AD1" w14:textId="77777777" w:rsidR="000E14EA" w:rsidRPr="00281C80" w:rsidRDefault="000E14EA" w:rsidP="007B47F4">
    <w:pPr>
      <w:pStyle w:val="Sidfot"/>
      <w:spacing w:line="240" w:lineRule="auto"/>
      <w:rPr>
        <w:sz w:val="2"/>
        <w:szCs w:val="2"/>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EC74" w14:textId="77777777"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3680F880" w14:textId="77777777" w:rsidTr="008B2776">
      <w:trPr>
        <w:trHeight w:val="426"/>
      </w:trPr>
      <w:tc>
        <w:tcPr>
          <w:tcW w:w="1752" w:type="dxa"/>
          <w:vAlign w:val="bottom"/>
        </w:tcPr>
        <w:p w14:paraId="649E02B1" w14:textId="77777777" w:rsidR="00904ECD" w:rsidRDefault="00904ECD" w:rsidP="00904ECD">
          <w:pPr>
            <w:pStyle w:val="Sidhuvud"/>
          </w:pPr>
        </w:p>
      </w:tc>
      <w:tc>
        <w:tcPr>
          <w:tcW w:w="6854" w:type="dxa"/>
          <w:vAlign w:val="bottom"/>
        </w:tcPr>
        <w:p w14:paraId="1CDA375D" w14:textId="77777777" w:rsidR="00904ECD" w:rsidRDefault="00904ECD" w:rsidP="00904ECD">
          <w:pPr>
            <w:pStyle w:val="Sidhuvud"/>
            <w:spacing w:before="40"/>
            <w:jc w:val="center"/>
          </w:pPr>
          <w:r>
            <w:t>Institution/enhet eller motsvarande 901 87 Umeå www.umu.se</w:t>
          </w:r>
        </w:p>
      </w:tc>
      <w:tc>
        <w:tcPr>
          <w:tcW w:w="1752" w:type="dxa"/>
          <w:vAlign w:val="bottom"/>
        </w:tcPr>
        <w:p w14:paraId="7A8AB64F" w14:textId="77777777" w:rsidR="00904ECD" w:rsidRDefault="00904ECD" w:rsidP="00904ECD">
          <w:pPr>
            <w:pStyle w:val="Sidhuvud"/>
            <w:jc w:val="right"/>
          </w:pPr>
          <w:r>
            <w:t xml:space="preserve"> </w:t>
          </w:r>
        </w:p>
      </w:tc>
    </w:tr>
  </w:tbl>
  <w:p w14:paraId="0CCA0D76" w14:textId="77777777" w:rsidR="00904ECD" w:rsidRDefault="00904ECD" w:rsidP="00801F09">
    <w:pPr>
      <w:pStyle w:val="Tomtstycke"/>
    </w:pPr>
  </w:p>
  <w:p w14:paraId="3E731BDE" w14:textId="77777777" w:rsidR="00904ECD" w:rsidRPr="006D7F85" w:rsidRDefault="00904ECD" w:rsidP="006D7F85">
    <w:pPr>
      <w:pStyle w:val="Tomtstyck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C358" w14:textId="77777777" w:rsidR="00710E99" w:rsidRDefault="00710E99" w:rsidP="00190C50">
      <w:pPr>
        <w:spacing w:line="240" w:lineRule="auto"/>
      </w:pPr>
      <w:r>
        <w:separator/>
      </w:r>
    </w:p>
  </w:footnote>
  <w:footnote w:type="continuationSeparator" w:id="0">
    <w:p w14:paraId="27B47E51" w14:textId="77777777" w:rsidR="00710E99" w:rsidRDefault="00710E99" w:rsidP="00190C5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9709" w14:textId="77777777"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02447CF4" w14:textId="77777777" w:rsidTr="008B2776">
      <w:trPr>
        <w:trHeight w:val="426"/>
      </w:trPr>
      <w:tc>
        <w:tcPr>
          <w:tcW w:w="3437" w:type="dxa"/>
        </w:tcPr>
        <w:p w14:paraId="0EDF063F" w14:textId="77777777" w:rsidR="00904ECD" w:rsidRPr="00281C80" w:rsidRDefault="00715383" w:rsidP="00904ECD">
          <w:pPr>
            <w:pStyle w:val="Sidhuvud"/>
            <w:rPr>
              <w:lang w:val="en-US"/>
            </w:rPr>
          </w:pPr>
          <w:r>
            <w:rPr>
              <w:lang w:val="en-US"/>
            </w:rPr>
            <w:t>Fact Sheet</w:t>
          </w:r>
        </w:p>
        <w:p w14:paraId="1CFF476D" w14:textId="77777777" w:rsidR="00281C80" w:rsidRPr="00281C80" w:rsidRDefault="00715383" w:rsidP="00904ECD">
          <w:pPr>
            <w:pStyle w:val="Sidhuvud"/>
            <w:rPr>
              <w:lang w:val="en-US"/>
            </w:rPr>
          </w:pPr>
          <w:r>
            <w:rPr>
              <w:lang w:val="en-US"/>
            </w:rPr>
            <w:t>Umeå University</w:t>
          </w:r>
        </w:p>
        <w:p w14:paraId="0863DE58" w14:textId="77777777" w:rsidR="00281C80" w:rsidRPr="00281C80" w:rsidRDefault="00715383" w:rsidP="00904ECD">
          <w:pPr>
            <w:pStyle w:val="Sidhuvud"/>
            <w:rPr>
              <w:lang w:val="en-US"/>
            </w:rPr>
          </w:pPr>
          <w:r>
            <w:rPr>
              <w:lang w:val="en-US"/>
            </w:rPr>
            <w:t>Incoming.io</w:t>
          </w:r>
          <w:r w:rsidR="00281C80" w:rsidRPr="00281C80">
            <w:rPr>
              <w:lang w:val="en-US"/>
            </w:rPr>
            <w:t>@umu.se</w:t>
          </w:r>
        </w:p>
        <w:p w14:paraId="7A557CDA" w14:textId="77777777" w:rsidR="00281C80" w:rsidRDefault="00281C80" w:rsidP="00904ECD">
          <w:pPr>
            <w:pStyle w:val="Sidhuvud"/>
          </w:pPr>
          <w:r w:rsidRPr="00281C80">
            <w:t>+46 (0)90-786 50 00</w:t>
          </w:r>
        </w:p>
        <w:p w14:paraId="3CA3C1D0" w14:textId="77777777" w:rsidR="00103FF6" w:rsidRDefault="00103FF6" w:rsidP="00904ECD">
          <w:pPr>
            <w:pStyle w:val="Sidhuvud"/>
          </w:pPr>
        </w:p>
        <w:p w14:paraId="714F23E6" w14:textId="77777777" w:rsidR="00103FF6" w:rsidRDefault="00103FF6" w:rsidP="00904ECD">
          <w:pPr>
            <w:pStyle w:val="Sidhuvud"/>
          </w:pPr>
        </w:p>
      </w:tc>
      <w:tc>
        <w:tcPr>
          <w:tcW w:w="3438" w:type="dxa"/>
        </w:tcPr>
        <w:p w14:paraId="04211882" w14:textId="77777777" w:rsidR="00904ECD" w:rsidRDefault="009B7A32" w:rsidP="00904ECD">
          <w:pPr>
            <w:pStyle w:val="Sidhuvud"/>
            <w:spacing w:before="40" w:after="20"/>
            <w:jc w:val="center"/>
          </w:pPr>
          <w:r>
            <w:drawing>
              <wp:inline distT="0" distB="0" distL="0" distR="0" wp14:anchorId="3C67B5BD" wp14:editId="71B3ED32">
                <wp:extent cx="1769385" cy="601200"/>
                <wp:effectExtent l="0" t="0" r="889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a:extLst>
                            <a:ext uri="{28A0092B-C50C-407E-A947-70E740481C1C}">
                              <a14:useLocalDpi xmlns:a14="http://schemas.microsoft.com/office/drawing/2010/main" val="0"/>
                            </a:ext>
                          </a:extLst>
                        </a:blip>
                        <a:stretch>
                          <a:fillRect/>
                        </a:stretch>
                      </pic:blipFill>
                      <pic:spPr>
                        <a:xfrm>
                          <a:off x="0" y="0"/>
                          <a:ext cx="1769385" cy="601200"/>
                        </a:xfrm>
                        <a:prstGeom prst="rect">
                          <a:avLst/>
                        </a:prstGeom>
                      </pic:spPr>
                    </pic:pic>
                  </a:graphicData>
                </a:graphic>
              </wp:inline>
            </w:drawing>
          </w:r>
        </w:p>
      </w:tc>
      <w:tc>
        <w:tcPr>
          <w:tcW w:w="3438" w:type="dxa"/>
        </w:tcPr>
        <w:p w14:paraId="04B5E0B6" w14:textId="77777777" w:rsidR="00904ECD" w:rsidRDefault="00715383" w:rsidP="00904ECD">
          <w:pPr>
            <w:pStyle w:val="Sidhuvud"/>
            <w:jc w:val="right"/>
          </w:pPr>
          <w:r>
            <w:t>2017-02-16</w:t>
          </w:r>
        </w:p>
        <w:p w14:paraId="507A6368" w14:textId="77777777" w:rsidR="00904ECD" w:rsidRDefault="00281C80" w:rsidP="00904ECD">
          <w:pPr>
            <w:pStyle w:val="Sidhuvud"/>
            <w:jc w:val="right"/>
          </w:pPr>
          <w:r>
            <w:t>Page</w:t>
          </w:r>
          <w:r w:rsidR="00904ECD">
            <w:t xml:space="preserve"> </w:t>
          </w:r>
          <w:r w:rsidR="00904ECD" w:rsidRPr="00546880">
            <w:fldChar w:fldCharType="begin"/>
          </w:r>
          <w:r w:rsidR="00904ECD" w:rsidRPr="00546880">
            <w:instrText>PAGE  \* Arabic  \* MERGEFORMAT</w:instrText>
          </w:r>
          <w:r w:rsidR="00904ECD" w:rsidRPr="00546880">
            <w:fldChar w:fldCharType="separate"/>
          </w:r>
          <w:r w:rsidR="006D45AB">
            <w:t>1</w:t>
          </w:r>
          <w:r w:rsidR="00904ECD" w:rsidRPr="00546880">
            <w:fldChar w:fldCharType="end"/>
          </w:r>
          <w:r w:rsidR="00904ECD">
            <w:t xml:space="preserve"> (</w:t>
          </w:r>
          <w:fldSimple w:instr="NUMPAGES  \* Arabic  \* MERGEFORMAT">
            <w:r w:rsidR="006D45AB">
              <w:t>5</w:t>
            </w:r>
          </w:fldSimple>
          <w:r w:rsidR="00904ECD">
            <w:t xml:space="preserve">) </w:t>
          </w:r>
        </w:p>
      </w:tc>
    </w:tr>
  </w:tbl>
  <w:p w14:paraId="187A4CE6" w14:textId="77777777" w:rsidR="00904ECD" w:rsidRPr="006F5914" w:rsidRDefault="00904ECD" w:rsidP="000E14EA">
    <w:pPr>
      <w:pStyle w:val="Tomtstyck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4D68" w14:textId="77777777"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32AC0B4D" w14:textId="77777777" w:rsidTr="008B2776">
      <w:trPr>
        <w:trHeight w:val="426"/>
      </w:trPr>
      <w:tc>
        <w:tcPr>
          <w:tcW w:w="3437" w:type="dxa"/>
        </w:tcPr>
        <w:p w14:paraId="75144A45" w14:textId="77777777" w:rsidR="00904ECD" w:rsidRDefault="00904ECD" w:rsidP="00904ECD">
          <w:pPr>
            <w:pStyle w:val="Sidhuvud"/>
          </w:pPr>
          <w:r w:rsidRPr="002F104F">
            <w:t>Dokumenttyp</w:t>
          </w:r>
        </w:p>
        <w:p w14:paraId="267241D0" w14:textId="77777777" w:rsidR="00904ECD" w:rsidRDefault="00904ECD" w:rsidP="00904ECD">
          <w:pPr>
            <w:pStyle w:val="Sidhuvud"/>
          </w:pPr>
          <w:r w:rsidRPr="002F104F">
            <w:t>Dnr</w:t>
          </w:r>
        </w:p>
      </w:tc>
      <w:tc>
        <w:tcPr>
          <w:tcW w:w="3438" w:type="dxa"/>
        </w:tcPr>
        <w:p w14:paraId="08538F13" w14:textId="77777777" w:rsidR="00904ECD" w:rsidRDefault="009B7A32" w:rsidP="00904ECD">
          <w:pPr>
            <w:pStyle w:val="Sidhuvud"/>
            <w:spacing w:before="40" w:after="20"/>
            <w:jc w:val="center"/>
          </w:pPr>
          <w:r>
            <w:drawing>
              <wp:inline distT="0" distB="0" distL="0" distR="0" wp14:anchorId="1E9F99B1" wp14:editId="6BD7DEF5">
                <wp:extent cx="1791494" cy="60120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494" cy="601200"/>
                        </a:xfrm>
                        <a:prstGeom prst="rect">
                          <a:avLst/>
                        </a:prstGeom>
                      </pic:spPr>
                    </pic:pic>
                  </a:graphicData>
                </a:graphic>
              </wp:inline>
            </w:drawing>
          </w:r>
        </w:p>
      </w:tc>
      <w:tc>
        <w:tcPr>
          <w:tcW w:w="3438" w:type="dxa"/>
        </w:tcPr>
        <w:p w14:paraId="08A47C76" w14:textId="77777777" w:rsidR="00904ECD" w:rsidRDefault="00904ECD" w:rsidP="00904ECD">
          <w:pPr>
            <w:pStyle w:val="Sidhuvud"/>
            <w:jc w:val="right"/>
          </w:pPr>
          <w:r>
            <w:t>Datum</w:t>
          </w:r>
        </w:p>
        <w:p w14:paraId="294762F5"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9B7A32">
            <w:t>1</w:t>
          </w:r>
          <w:r w:rsidRPr="00546880">
            <w:fldChar w:fldCharType="end"/>
          </w:r>
          <w:r>
            <w:t xml:space="preserve"> (</w:t>
          </w:r>
          <w:fldSimple w:instr="NUMPAGES  \* Arabic  \* MERGEFORMAT">
            <w:r w:rsidR="003D1888">
              <w:t>5</w:t>
            </w:r>
          </w:fldSimple>
          <w:r>
            <w:t xml:space="preserve">) </w:t>
          </w:r>
        </w:p>
      </w:tc>
    </w:tr>
  </w:tbl>
  <w:p w14:paraId="0D3A4897" w14:textId="77777777" w:rsidR="00904ECD" w:rsidRPr="00427F56" w:rsidRDefault="00904ECD" w:rsidP="00801F09">
    <w:pPr>
      <w:pStyle w:val="Tomtstyck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3.35pt;height:64pt;visibility:visible;mso-wrap-style:square" o:bullet="t">
        <v:imagedata r:id="rId1" o:title=""/>
      </v:shape>
    </w:pict>
  </w:numPicBullet>
  <w:abstractNum w:abstractNumId="0">
    <w:nsid w:val="FFFFFF88"/>
    <w:multiLevelType w:val="singleLevel"/>
    <w:tmpl w:val="F746D0DC"/>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6">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7">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9C8790F"/>
    <w:multiLevelType w:val="hybridMultilevel"/>
    <w:tmpl w:val="246208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72CE0BDC"/>
    <w:multiLevelType w:val="hybridMultilevel"/>
    <w:tmpl w:val="E1368432"/>
    <w:lvl w:ilvl="0" w:tplc="8318944E">
      <w:start w:val="5"/>
      <w:numFmt w:val="bullet"/>
      <w:lvlText w:val="-"/>
      <w:lvlJc w:val="left"/>
      <w:pPr>
        <w:ind w:left="720" w:hanging="360"/>
      </w:pPr>
      <w:rPr>
        <w:rFonts w:ascii="Georgia" w:eastAsia="Times New Roman" w:hAnsi="Georg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0"/>
  </w:num>
  <w:num w:numId="9">
    <w:abstractNumId w:val="10"/>
  </w:num>
  <w:num w:numId="10">
    <w:abstractNumId w:val="1"/>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83"/>
    <w:rsid w:val="00022CEE"/>
    <w:rsid w:val="0002598E"/>
    <w:rsid w:val="000365B4"/>
    <w:rsid w:val="00040301"/>
    <w:rsid w:val="000438CB"/>
    <w:rsid w:val="00074F1D"/>
    <w:rsid w:val="00091AD5"/>
    <w:rsid w:val="000972BF"/>
    <w:rsid w:val="000B5233"/>
    <w:rsid w:val="000C1302"/>
    <w:rsid w:val="000C4CDC"/>
    <w:rsid w:val="000C7056"/>
    <w:rsid w:val="000D67A5"/>
    <w:rsid w:val="000E14EA"/>
    <w:rsid w:val="000E49A7"/>
    <w:rsid w:val="000E7725"/>
    <w:rsid w:val="000F2DC6"/>
    <w:rsid w:val="00103FF6"/>
    <w:rsid w:val="00112353"/>
    <w:rsid w:val="00120BBE"/>
    <w:rsid w:val="00123F5D"/>
    <w:rsid w:val="001306A0"/>
    <w:rsid w:val="00190C50"/>
    <w:rsid w:val="002148F6"/>
    <w:rsid w:val="002231C8"/>
    <w:rsid w:val="00231104"/>
    <w:rsid w:val="00232749"/>
    <w:rsid w:val="00234EA6"/>
    <w:rsid w:val="00241369"/>
    <w:rsid w:val="002519DB"/>
    <w:rsid w:val="00253AFF"/>
    <w:rsid w:val="002710E6"/>
    <w:rsid w:val="002743E9"/>
    <w:rsid w:val="00281C80"/>
    <w:rsid w:val="0028246C"/>
    <w:rsid w:val="002861FA"/>
    <w:rsid w:val="002919E1"/>
    <w:rsid w:val="00293DD7"/>
    <w:rsid w:val="002B06BD"/>
    <w:rsid w:val="002C3E1B"/>
    <w:rsid w:val="002D599E"/>
    <w:rsid w:val="002D5CE0"/>
    <w:rsid w:val="002F104F"/>
    <w:rsid w:val="002F3861"/>
    <w:rsid w:val="00300F86"/>
    <w:rsid w:val="0031302F"/>
    <w:rsid w:val="00314ACC"/>
    <w:rsid w:val="003165B3"/>
    <w:rsid w:val="00320BB4"/>
    <w:rsid w:val="00326F3D"/>
    <w:rsid w:val="00342672"/>
    <w:rsid w:val="00343CC4"/>
    <w:rsid w:val="003533FA"/>
    <w:rsid w:val="0035470D"/>
    <w:rsid w:val="0037424A"/>
    <w:rsid w:val="00382A73"/>
    <w:rsid w:val="00397CDB"/>
    <w:rsid w:val="003A22F0"/>
    <w:rsid w:val="003A520D"/>
    <w:rsid w:val="003A53BF"/>
    <w:rsid w:val="003D1888"/>
    <w:rsid w:val="003D4F90"/>
    <w:rsid w:val="003E3385"/>
    <w:rsid w:val="003E5F14"/>
    <w:rsid w:val="003F6440"/>
    <w:rsid w:val="00401038"/>
    <w:rsid w:val="00411542"/>
    <w:rsid w:val="00415FF6"/>
    <w:rsid w:val="00420792"/>
    <w:rsid w:val="00422226"/>
    <w:rsid w:val="0042712B"/>
    <w:rsid w:val="00427F56"/>
    <w:rsid w:val="00475882"/>
    <w:rsid w:val="004837B1"/>
    <w:rsid w:val="004A09E8"/>
    <w:rsid w:val="004A2573"/>
    <w:rsid w:val="004A4CF0"/>
    <w:rsid w:val="004C1357"/>
    <w:rsid w:val="004D2A0E"/>
    <w:rsid w:val="004E2266"/>
    <w:rsid w:val="004E5000"/>
    <w:rsid w:val="005158B7"/>
    <w:rsid w:val="00524B2C"/>
    <w:rsid w:val="00534B62"/>
    <w:rsid w:val="00541C03"/>
    <w:rsid w:val="00546880"/>
    <w:rsid w:val="00551A46"/>
    <w:rsid w:val="005606CF"/>
    <w:rsid w:val="0056435D"/>
    <w:rsid w:val="00582D90"/>
    <w:rsid w:val="005C2938"/>
    <w:rsid w:val="005C540D"/>
    <w:rsid w:val="005D54C4"/>
    <w:rsid w:val="005E30B9"/>
    <w:rsid w:val="005F152C"/>
    <w:rsid w:val="006016BB"/>
    <w:rsid w:val="0060265A"/>
    <w:rsid w:val="00603661"/>
    <w:rsid w:val="006315D7"/>
    <w:rsid w:val="006339E7"/>
    <w:rsid w:val="00635A9A"/>
    <w:rsid w:val="00637AD4"/>
    <w:rsid w:val="0064791A"/>
    <w:rsid w:val="00662555"/>
    <w:rsid w:val="006631D4"/>
    <w:rsid w:val="0067375F"/>
    <w:rsid w:val="00674B19"/>
    <w:rsid w:val="00694CB2"/>
    <w:rsid w:val="006C2846"/>
    <w:rsid w:val="006D2DA7"/>
    <w:rsid w:val="006D45AB"/>
    <w:rsid w:val="006D7F85"/>
    <w:rsid w:val="006E7C14"/>
    <w:rsid w:val="006F5914"/>
    <w:rsid w:val="00707887"/>
    <w:rsid w:val="00710E99"/>
    <w:rsid w:val="00715383"/>
    <w:rsid w:val="007175E0"/>
    <w:rsid w:val="00721F2A"/>
    <w:rsid w:val="00756388"/>
    <w:rsid w:val="00757EBB"/>
    <w:rsid w:val="007677B7"/>
    <w:rsid w:val="00792503"/>
    <w:rsid w:val="007A02AB"/>
    <w:rsid w:val="007B3DAB"/>
    <w:rsid w:val="007B47F4"/>
    <w:rsid w:val="007B543B"/>
    <w:rsid w:val="007C5FEF"/>
    <w:rsid w:val="00801F09"/>
    <w:rsid w:val="0080309B"/>
    <w:rsid w:val="00803482"/>
    <w:rsid w:val="00830A70"/>
    <w:rsid w:val="00853894"/>
    <w:rsid w:val="00880C1E"/>
    <w:rsid w:val="00891619"/>
    <w:rsid w:val="008972D2"/>
    <w:rsid w:val="008A5676"/>
    <w:rsid w:val="008C58F0"/>
    <w:rsid w:val="008D48B5"/>
    <w:rsid w:val="00900BBA"/>
    <w:rsid w:val="00904ECD"/>
    <w:rsid w:val="00905A45"/>
    <w:rsid w:val="00912243"/>
    <w:rsid w:val="009134A3"/>
    <w:rsid w:val="00961561"/>
    <w:rsid w:val="00966CCC"/>
    <w:rsid w:val="00981761"/>
    <w:rsid w:val="009858C3"/>
    <w:rsid w:val="00993BD0"/>
    <w:rsid w:val="00995AB3"/>
    <w:rsid w:val="009A615A"/>
    <w:rsid w:val="009B7A32"/>
    <w:rsid w:val="009C09BE"/>
    <w:rsid w:val="009C2054"/>
    <w:rsid w:val="009C6DBF"/>
    <w:rsid w:val="009C77F0"/>
    <w:rsid w:val="009D7EF4"/>
    <w:rsid w:val="009E3549"/>
    <w:rsid w:val="009E6779"/>
    <w:rsid w:val="009F3E95"/>
    <w:rsid w:val="00A01592"/>
    <w:rsid w:val="00A0215C"/>
    <w:rsid w:val="00A37A46"/>
    <w:rsid w:val="00A45AA1"/>
    <w:rsid w:val="00A46220"/>
    <w:rsid w:val="00A53E0B"/>
    <w:rsid w:val="00A54EBF"/>
    <w:rsid w:val="00A81710"/>
    <w:rsid w:val="00A8790F"/>
    <w:rsid w:val="00A95D9B"/>
    <w:rsid w:val="00AA1068"/>
    <w:rsid w:val="00AA1E4E"/>
    <w:rsid w:val="00AC079D"/>
    <w:rsid w:val="00AE3F3C"/>
    <w:rsid w:val="00AE43D7"/>
    <w:rsid w:val="00AF10ED"/>
    <w:rsid w:val="00AF43CB"/>
    <w:rsid w:val="00B312BC"/>
    <w:rsid w:val="00B41E11"/>
    <w:rsid w:val="00B4202B"/>
    <w:rsid w:val="00B42DB4"/>
    <w:rsid w:val="00B8715F"/>
    <w:rsid w:val="00B92795"/>
    <w:rsid w:val="00B928F3"/>
    <w:rsid w:val="00BB0027"/>
    <w:rsid w:val="00BD33C3"/>
    <w:rsid w:val="00BE238C"/>
    <w:rsid w:val="00BF2DB9"/>
    <w:rsid w:val="00BF413F"/>
    <w:rsid w:val="00C047D7"/>
    <w:rsid w:val="00C1676B"/>
    <w:rsid w:val="00C23067"/>
    <w:rsid w:val="00C233BB"/>
    <w:rsid w:val="00C43500"/>
    <w:rsid w:val="00C65FC8"/>
    <w:rsid w:val="00C81B55"/>
    <w:rsid w:val="00CB51EE"/>
    <w:rsid w:val="00CB705B"/>
    <w:rsid w:val="00CC2F59"/>
    <w:rsid w:val="00CD14C6"/>
    <w:rsid w:val="00CD3668"/>
    <w:rsid w:val="00CF5451"/>
    <w:rsid w:val="00D06E18"/>
    <w:rsid w:val="00D07521"/>
    <w:rsid w:val="00D16E62"/>
    <w:rsid w:val="00D21F8E"/>
    <w:rsid w:val="00D22D49"/>
    <w:rsid w:val="00D2488E"/>
    <w:rsid w:val="00D31071"/>
    <w:rsid w:val="00D43B89"/>
    <w:rsid w:val="00D94FF2"/>
    <w:rsid w:val="00D9723F"/>
    <w:rsid w:val="00DC7465"/>
    <w:rsid w:val="00DD4BFA"/>
    <w:rsid w:val="00DF3D9D"/>
    <w:rsid w:val="00DF4057"/>
    <w:rsid w:val="00E01ABB"/>
    <w:rsid w:val="00E0676E"/>
    <w:rsid w:val="00E17F2E"/>
    <w:rsid w:val="00E26435"/>
    <w:rsid w:val="00E31D6F"/>
    <w:rsid w:val="00E57EB9"/>
    <w:rsid w:val="00E66823"/>
    <w:rsid w:val="00E91E30"/>
    <w:rsid w:val="00EA593C"/>
    <w:rsid w:val="00EB7F4E"/>
    <w:rsid w:val="00EC3E1E"/>
    <w:rsid w:val="00ED450F"/>
    <w:rsid w:val="00F05B6F"/>
    <w:rsid w:val="00F31BC4"/>
    <w:rsid w:val="00F36CA7"/>
    <w:rsid w:val="00F44871"/>
    <w:rsid w:val="00F4790F"/>
    <w:rsid w:val="00F62FC4"/>
    <w:rsid w:val="00F70FD3"/>
    <w:rsid w:val="00F9213E"/>
    <w:rsid w:val="00F94541"/>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D12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82">
    <w:lsdException w:name="heading 1" w:qFormat="1"/>
    <w:lsdException w:name="heading 2" w:qFormat="1"/>
    <w:lsdException w:name="heading 3" w:qFormat="1"/>
    <w:lsdException w:name="heading 5" w:unhideWhenUsed="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99" w:unhideWhenUsed="1" w:qFormat="1"/>
    <w:lsdException w:name="List Number" w:uiPriority="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0C7056"/>
    <w:pPr>
      <w:keepNext/>
      <w:spacing w:before="260" w:after="260" w:line="480" w:lineRule="exact"/>
      <w:outlineLvl w:val="0"/>
    </w:pPr>
    <w:rPr>
      <w:rFonts w:cs="Arial"/>
      <w:bCs/>
      <w:sz w:val="40"/>
      <w:szCs w:val="28"/>
      <w:lang w:val="en-US"/>
    </w:rPr>
  </w:style>
  <w:style w:type="paragraph" w:styleId="Rubrik2">
    <w:name w:val="heading 2"/>
    <w:basedOn w:val="Normal"/>
    <w:next w:val="Normal"/>
    <w:link w:val="Rubrik2Char"/>
    <w:qFormat/>
    <w:rsid w:val="000C7056"/>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0C7056"/>
    <w:rPr>
      <w:rFonts w:cs="Arial"/>
      <w:bCs/>
      <w:sz w:val="40"/>
      <w:szCs w:val="28"/>
      <w:lang w:val="en-US"/>
    </w:rPr>
  </w:style>
  <w:style w:type="character" w:customStyle="1" w:styleId="Rubrik2Char">
    <w:name w:val="Rubrik 2 Char"/>
    <w:link w:val="Rubrik2"/>
    <w:rsid w:val="000C7056"/>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99"/>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uiPriority w:val="99"/>
    <w:rsid w:val="00D16E62"/>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99"/>
    <w:qFormat/>
    <w:rsid w:val="00D16E62"/>
    <w:pPr>
      <w:ind w:left="720"/>
      <w:contextualSpacing/>
    </w:pPr>
  </w:style>
  <w:style w:type="table" w:customStyle="1" w:styleId="Listaitabellformat3-dekorfrg11">
    <w:name w:val="Lista i tabellformat 3 - dekorfärg 11"/>
    <w:basedOn w:val="Normaltabell"/>
    <w:uiPriority w:val="48"/>
    <w:rsid w:val="0080309B"/>
    <w:pPr>
      <w:spacing w:line="240" w:lineRule="auto"/>
    </w:pPr>
    <w:tblPr>
      <w:tblStyleRowBandSize w:val="1"/>
      <w:tblStyleColBandSize w:val="1"/>
      <w:tblInd w:w="0" w:type="dxa"/>
      <w:tblBorders>
        <w:top w:val="single" w:sz="4" w:space="0" w:color="2A4765" w:themeColor="accent1"/>
        <w:left w:val="single" w:sz="4" w:space="0" w:color="2A4765" w:themeColor="accent1"/>
        <w:bottom w:val="single" w:sz="4" w:space="0" w:color="2A4765" w:themeColor="accent1"/>
        <w:right w:val="single" w:sz="4" w:space="0" w:color="2A4765" w:themeColor="accent1"/>
      </w:tblBorders>
      <w:tblCellMar>
        <w:top w:w="0" w:type="dxa"/>
        <w:left w:w="108" w:type="dxa"/>
        <w:bottom w:w="0" w:type="dxa"/>
        <w:right w:w="108" w:type="dxa"/>
      </w:tblCellMar>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customStyle="1" w:styleId="NormalUmU">
    <w:name w:val="Normal UmU"/>
    <w:qFormat/>
    <w:rsid w:val="00CB51EE"/>
    <w:pPr>
      <w:spacing w:after="260" w:line="276" w:lineRule="auto"/>
    </w:pPr>
    <w:rPr>
      <w:lang w:val="en-US"/>
    </w:rPr>
  </w:style>
  <w:style w:type="paragraph" w:styleId="Brdtextmedindrag">
    <w:name w:val="Body Text Indent"/>
    <w:basedOn w:val="Normal"/>
    <w:link w:val="BrdtextmedindragChar"/>
    <w:uiPriority w:val="99"/>
    <w:rsid w:val="00715383"/>
    <w:pPr>
      <w:spacing w:line="240" w:lineRule="auto"/>
      <w:ind w:left="2880" w:hanging="2880"/>
    </w:pPr>
    <w:rPr>
      <w:rFonts w:ascii="Arial" w:hAnsi="Arial"/>
      <w:lang w:val="en-US" w:eastAsia="en-US"/>
    </w:rPr>
  </w:style>
  <w:style w:type="character" w:customStyle="1" w:styleId="BrdtextmedindragChar">
    <w:name w:val="Brödtext med indrag Char"/>
    <w:basedOn w:val="Standardstycketeckensnitt"/>
    <w:link w:val="Brdtextmedindrag"/>
    <w:uiPriority w:val="99"/>
    <w:rsid w:val="00715383"/>
    <w:rPr>
      <w:rFonts w:ascii="Arial" w:hAnsi="Arial"/>
      <w:lang w:val="en-US" w:eastAsia="en-US"/>
    </w:rPr>
  </w:style>
  <w:style w:type="character" w:styleId="Stark">
    <w:name w:val="Strong"/>
    <w:basedOn w:val="Standardstycketeckensnitt"/>
    <w:uiPriority w:val="22"/>
    <w:qFormat/>
    <w:rsid w:val="00715383"/>
    <w:rPr>
      <w:rFonts w:cs="Times New Roman"/>
      <w:b/>
      <w:bCs/>
    </w:rPr>
  </w:style>
  <w:style w:type="paragraph" w:styleId="Brdtext">
    <w:name w:val="Body Text"/>
    <w:basedOn w:val="Normal"/>
    <w:link w:val="BrdtextChar"/>
    <w:uiPriority w:val="99"/>
    <w:unhideWhenUsed/>
    <w:rsid w:val="00715383"/>
    <w:pPr>
      <w:spacing w:after="120"/>
    </w:pPr>
    <w:rPr>
      <w:rFonts w:ascii="Georgia" w:eastAsia="Calibri" w:hAnsi="Georgia"/>
      <w:szCs w:val="24"/>
      <w:lang w:eastAsia="en-US"/>
    </w:rPr>
  </w:style>
  <w:style w:type="character" w:customStyle="1" w:styleId="BrdtextChar">
    <w:name w:val="Brödtext Char"/>
    <w:basedOn w:val="Standardstycketeckensnitt"/>
    <w:link w:val="Brdtext"/>
    <w:uiPriority w:val="99"/>
    <w:rsid w:val="00715383"/>
    <w:rPr>
      <w:rFonts w:ascii="Georgia" w:eastAsia="Calibri" w:hAnsi="Georg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student.umu.se/english/during-your-studies/your-continued-studies/courselist" TargetMode="External"/><Relationship Id="rId13" Type="http://schemas.openxmlformats.org/officeDocument/2006/relationships/hyperlink" Target="http://www.student.umu.se/english/during-your-studies/your-continued-studies/courselist" TargetMode="External"/><Relationship Id="rId14" Type="http://schemas.openxmlformats.org/officeDocument/2006/relationships/hyperlink" Target="http://www.student.umu.se/en/disability-services" TargetMode="External"/><Relationship Id="rId15" Type="http://schemas.openxmlformats.org/officeDocument/2006/relationships/hyperlink" Target="http://www.umu.se/english/umea/accommodation/exchange-student" TargetMode="External"/><Relationship Id="rId16" Type="http://schemas.openxmlformats.org/officeDocument/2006/relationships/hyperlink" Target="http://www.kammarkollegiet.se/en/insurance-students-and-state-employees/student-insuranc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aas0002/Documents/Kommunikation/Mallar/dokument-se-en/Document%20umu%20EN%20v01.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6BE5-6EF9-2C42-9AD0-2C5331F5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umu EN v01.dotx</Template>
  <TotalTime>0</TotalTime>
  <Pages>5</Pages>
  <Words>1277</Words>
  <Characters>6771</Characters>
  <Application>Microsoft Macintosh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Office-användare</dc:creator>
  <cp:lastModifiedBy>Microsoft Office-användare</cp:lastModifiedBy>
  <cp:revision>2</cp:revision>
  <cp:lastPrinted>2017-02-22T08:03:00Z</cp:lastPrinted>
  <dcterms:created xsi:type="dcterms:W3CDTF">2017-02-22T08:04:00Z</dcterms:created>
  <dcterms:modified xsi:type="dcterms:W3CDTF">2017-02-22T08:04:00Z</dcterms:modified>
</cp:coreProperties>
</file>